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numPr>
          <w:ilvl w:val="0"/>
          <w:numId w:val="8"/>
        </w:numPr>
        <w:spacing w:after="0" w:lineRule="auto"/>
        <w:ind w:left="35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IDENTIFICACIÓN</w:t>
      </w:r>
    </w:p>
    <w:tbl>
      <w:tblPr>
        <w:tblStyle w:val="Table1"/>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39"/>
        <w:gridCol w:w="6662"/>
        <w:tblGridChange w:id="0">
          <w:tblGrid>
            <w:gridCol w:w="3539"/>
            <w:gridCol w:w="6662"/>
          </w:tblGrid>
        </w:tblGridChange>
      </w:tblGrid>
      <w:tr>
        <w:trPr>
          <w:cantSplit w:val="0"/>
          <w:tblHeader w:val="0"/>
        </w:trPr>
        <w:tc>
          <w:tcPr>
            <w:gridSpan w:val="2"/>
            <w:vAlign w:val="center"/>
          </w:tcPr>
          <w:p w:rsidR="00000000" w:rsidDel="00000000" w:rsidP="00000000" w:rsidRDefault="00000000" w:rsidRPr="00000000" w14:paraId="00000003">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Generalidades</w:t>
            </w:r>
          </w:p>
        </w:tc>
      </w:tr>
      <w:tr>
        <w:trPr>
          <w:cantSplit w:val="0"/>
          <w:tblHeader w:val="0"/>
        </w:trPr>
        <w:tc>
          <w:tcPr/>
          <w:p w:rsidR="00000000" w:rsidDel="00000000" w:rsidP="00000000" w:rsidRDefault="00000000" w:rsidRPr="00000000" w14:paraId="00000005">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Espacio académico</w:t>
            </w:r>
          </w:p>
        </w:tc>
        <w:tc>
          <w:tcPr/>
          <w:p w:rsidR="00000000" w:rsidDel="00000000" w:rsidP="00000000" w:rsidRDefault="00000000" w:rsidRPr="00000000" w14:paraId="0000000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Comprensión lectora y producción textual II</w:t>
            </w:r>
          </w:p>
        </w:tc>
      </w:tr>
      <w:tr>
        <w:trPr>
          <w:cantSplit w:val="0"/>
          <w:tblHeader w:val="0"/>
        </w:trPr>
        <w:tc>
          <w:tcPr/>
          <w:p w:rsidR="00000000" w:rsidDel="00000000" w:rsidP="00000000" w:rsidRDefault="00000000" w:rsidRPr="00000000" w14:paraId="00000007">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semanales</w:t>
            </w:r>
          </w:p>
        </w:tc>
        <w:tc>
          <w:tcPr/>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horas semanales</w:t>
            </w:r>
          </w:p>
        </w:tc>
      </w:tr>
      <w:tr>
        <w:trPr>
          <w:cantSplit w:val="0"/>
          <w:tblHeader w:val="0"/>
        </w:trPr>
        <w:tc>
          <w:tcPr/>
          <w:p w:rsidR="00000000" w:rsidDel="00000000" w:rsidP="00000000" w:rsidRDefault="00000000" w:rsidRPr="00000000" w14:paraId="00000009">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de horas por semestre</w:t>
            </w:r>
          </w:p>
        </w:tc>
        <w:tc>
          <w:tcPr/>
          <w:p w:rsidR="00000000" w:rsidDel="00000000" w:rsidP="00000000" w:rsidRDefault="00000000" w:rsidRPr="00000000" w14:paraId="0000000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horas por semestre</w:t>
            </w:r>
          </w:p>
        </w:tc>
      </w:tr>
      <w:tr>
        <w:trPr>
          <w:cantSplit w:val="0"/>
          <w:tblHeader w:val="0"/>
        </w:trPr>
        <w:tc>
          <w:tcPr/>
          <w:p w:rsidR="00000000" w:rsidDel="00000000" w:rsidP="00000000" w:rsidRDefault="00000000" w:rsidRPr="00000000" w14:paraId="0000000B">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Prerrequisito</w:t>
            </w:r>
          </w:p>
        </w:tc>
        <w:tc>
          <w:tcPr/>
          <w:p w:rsidR="00000000" w:rsidDel="00000000" w:rsidP="00000000" w:rsidRDefault="00000000" w:rsidRPr="00000000" w14:paraId="0000000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Comprensión lectora y producción textual I</w:t>
            </w:r>
          </w:p>
        </w:tc>
      </w:tr>
      <w:tr>
        <w:trPr>
          <w:cantSplit w:val="0"/>
          <w:tblHeader w:val="0"/>
        </w:trPr>
        <w:tc>
          <w:tcPr/>
          <w:p w:rsidR="00000000" w:rsidDel="00000000" w:rsidP="00000000" w:rsidRDefault="00000000" w:rsidRPr="00000000" w14:paraId="0000000D">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Semestre</w:t>
            </w:r>
          </w:p>
        </w:tc>
        <w:tc>
          <w:tcPr/>
          <w:p w:rsidR="00000000" w:rsidDel="00000000" w:rsidP="00000000" w:rsidRDefault="00000000" w:rsidRPr="00000000" w14:paraId="0000000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p>
        </w:tc>
      </w:tr>
      <w:tr>
        <w:trPr>
          <w:cantSplit w:val="0"/>
          <w:tblHeader w:val="0"/>
        </w:trPr>
        <w:tc>
          <w:tcPr/>
          <w:p w:rsidR="00000000" w:rsidDel="00000000" w:rsidP="00000000" w:rsidRDefault="00000000" w:rsidRPr="00000000" w14:paraId="0000000F">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Créditos</w:t>
            </w:r>
          </w:p>
        </w:tc>
        <w:tc>
          <w:tcPr/>
          <w:p w:rsidR="00000000" w:rsidDel="00000000" w:rsidP="00000000" w:rsidRDefault="00000000" w:rsidRPr="00000000" w14:paraId="0000001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p w:rsidR="00000000" w:rsidDel="00000000" w:rsidP="00000000" w:rsidRDefault="00000000" w:rsidRPr="00000000" w14:paraId="00000011">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de docencia directa</w:t>
            </w:r>
          </w:p>
        </w:tc>
        <w:tc>
          <w:tcPr/>
          <w:p w:rsidR="00000000" w:rsidDel="00000000" w:rsidP="00000000" w:rsidRDefault="00000000" w:rsidRPr="00000000" w14:paraId="0000001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rPr>
          <w:cantSplit w:val="0"/>
          <w:tblHeader w:val="0"/>
        </w:trPr>
        <w:tc>
          <w:tcPr/>
          <w:p w:rsidR="00000000" w:rsidDel="00000000" w:rsidP="00000000" w:rsidRDefault="00000000" w:rsidRPr="00000000" w14:paraId="00000013">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de trabajo independiente </w:t>
            </w:r>
          </w:p>
        </w:tc>
        <w:tc>
          <w:tcPr/>
          <w:p w:rsidR="00000000" w:rsidDel="00000000" w:rsidP="00000000" w:rsidRDefault="00000000" w:rsidRPr="00000000" w14:paraId="0000001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rPr>
          <w:cantSplit w:val="0"/>
          <w:tblHeader w:val="0"/>
        </w:trPr>
        <w:tc>
          <w:tcPr/>
          <w:p w:rsidR="00000000" w:rsidDel="00000000" w:rsidP="00000000" w:rsidRDefault="00000000" w:rsidRPr="00000000" w14:paraId="00000015">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Habilitable</w:t>
            </w:r>
          </w:p>
        </w:tc>
        <w:tc>
          <w:tcPr/>
          <w:p w:rsidR="00000000" w:rsidDel="00000000" w:rsidP="00000000" w:rsidRDefault="00000000" w:rsidRPr="00000000" w14:paraId="0000001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r>
          </w:p>
        </w:tc>
      </w:tr>
    </w:tbl>
    <w:p w:rsidR="00000000" w:rsidDel="00000000" w:rsidP="00000000" w:rsidRDefault="00000000" w:rsidRPr="00000000" w14:paraId="0000001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ind w:left="35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35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DESCRIPCIÓN</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producción del conocimiento académico está supeditado a la relaciones que se tejen entre la lectura y la escritura propias de las comunidades discursivas disciplinares (Swales, 1990; Bazerman, 1988; Carlino, 2005), por lo tanto, los procesos de comprensión y producción de textos en contextos académicos emergen como un escaño al que los maestros en formación y maestros en ejercicio acuden para posibilitar el acceso a las colectividades que discuten las particularidades de las disciplinas. Es por esto que,  el saber y el conocimiento académico se producen en las discusiones, debates, procesos de producción escritural y evaluación de los textos que, posteriormente, son divulgados (Carlino, 2013) por las comunidades discursivas, en nuestro caso, la formación inicial de maestros de la Escuela Normal Superior del Quindío.</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el espacio académico de </w:t>
      </w:r>
      <w:r w:rsidDel="00000000" w:rsidR="00000000" w:rsidRPr="00000000">
        <w:rPr>
          <w:rFonts w:ascii="Times New Roman" w:cs="Times New Roman" w:eastAsia="Times New Roman" w:hAnsi="Times New Roman"/>
          <w:i w:val="1"/>
          <w:sz w:val="24"/>
          <w:szCs w:val="24"/>
          <w:rtl w:val="0"/>
        </w:rPr>
        <w:t xml:space="preserve">Comprensión lectora y producción textual II</w:t>
      </w:r>
      <w:r w:rsidDel="00000000" w:rsidR="00000000" w:rsidRPr="00000000">
        <w:rPr>
          <w:rFonts w:ascii="Times New Roman" w:cs="Times New Roman" w:eastAsia="Times New Roman" w:hAnsi="Times New Roman"/>
          <w:sz w:val="24"/>
          <w:szCs w:val="24"/>
          <w:rtl w:val="0"/>
        </w:rPr>
        <w:t xml:space="preserve"> busca potenciar procesos de producción de escritura de orden argumentativo y expositivo – explicativos entendidos como textos cercanos a la academia y; a su vez, puente entre la producción oral y la capacidad de criticidad del maestro. De acuerdo con lo anterior Vásquez Rodríguez (2000) afirma que escribir “es poner a fuera nuestro pensamiento”, es “exponer nuestro yo”, en otras palabras, es hacer evidente nuestra subjetividad, pues la escritura refleja las estructuras de pensamiento que poseemos y a través de ella es posible reconocernos.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importante reconocer que la producción de textos académicos conduce a la construcción de saberes propios de las competencias discursivas, comunicativas y procesos cognitivos específicos de los maestros en formación; cabe decir que, para Carlino (2005) la escritura académica en los diferentes niveles educativos implica aprender a producir textos, cuyo lenguaje es el del discurso académico propios de las diferentes asignaturas. A esto se añade que, para Cassany (2000) la finalidad es la de ser soportes y transmisores de conocimientos. Por lo tanto, el espacio académico de </w:t>
      </w:r>
      <w:r w:rsidDel="00000000" w:rsidR="00000000" w:rsidRPr="00000000">
        <w:rPr>
          <w:rFonts w:ascii="Times New Roman" w:cs="Times New Roman" w:eastAsia="Times New Roman" w:hAnsi="Times New Roman"/>
          <w:i w:val="1"/>
          <w:sz w:val="24"/>
          <w:szCs w:val="24"/>
          <w:rtl w:val="0"/>
        </w:rPr>
        <w:t xml:space="preserve">Comprensión lectora y producción textual II</w:t>
      </w:r>
      <w:r w:rsidDel="00000000" w:rsidR="00000000" w:rsidRPr="00000000">
        <w:rPr>
          <w:rFonts w:ascii="Times New Roman" w:cs="Times New Roman" w:eastAsia="Times New Roman" w:hAnsi="Times New Roman"/>
          <w:sz w:val="24"/>
          <w:szCs w:val="24"/>
          <w:rtl w:val="0"/>
        </w:rPr>
        <w:t xml:space="preserve"> entiende la escritura como un proceso  que involucra propósitos y destinatarios reales para que el maestro en formación represente sus ideas y sean evidenciables en sus prácticas pedagógicas, análisis, investigaciones y posturas didácticas.</w:t>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JUSTIFICACIÓN</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competencias lectoras y escritoras se reconocen como un requerimiento hoy en la consecución de la función docente, no solo porque se consideran parte del proceso de aprendizaje, sino porque fundamenta el ejercicio de la participación ciudadana en la toma de una postura crítica frente a las realidades evidenciables dentro y fuera de las aulas de clase. Es por esto que, los procesos de comprensión y producción textual en el contexto académico de la formación de maestros se presentan como un desafío, y depende en gran medida de saber reconstruir el conocimiento a través de la acción reflexiva del discurso escrito; por lo tanto, escribir es tarea fundamental del maestro porque toda tarea académica debe estar ligada a la producción del pensamiento no solo oral, sino verificable en la producción escrita.</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igual manera, es importante destacar que, según el decreto 1236 del 14 de septiembre del 2020 uno de los </w:t>
      </w:r>
      <w:r w:rsidDel="00000000" w:rsidR="00000000" w:rsidRPr="00000000">
        <w:rPr>
          <w:rFonts w:ascii="Times New Roman" w:cs="Times New Roman" w:eastAsia="Times New Roman" w:hAnsi="Times New Roman"/>
          <w:i w:val="1"/>
          <w:sz w:val="24"/>
          <w:szCs w:val="24"/>
          <w:rtl w:val="0"/>
        </w:rPr>
        <w:t xml:space="preserve">fines de las Escuelas Normales Superiores </w:t>
      </w:r>
      <w:r w:rsidDel="00000000" w:rsidR="00000000" w:rsidRPr="00000000">
        <w:rPr>
          <w:rFonts w:ascii="Times New Roman" w:cs="Times New Roman" w:eastAsia="Times New Roman" w:hAnsi="Times New Roman"/>
          <w:sz w:val="24"/>
          <w:szCs w:val="24"/>
          <w:rtl w:val="0"/>
        </w:rPr>
        <w:t xml:space="preserve">es “Impulsar el desarrollo de las capacidades de los docentes en relación con la comprensión lectora, la escritura, el análisis, la argumentación y el pensamiento crítico” (MEN, 2020, p.4). En este orden de ideas, por lo que se refiere a la lectura y escritura académica es pertinente anotar que no son habilidades alcanzadas en un momento determinado, sino que se reafirman en la práctica (Cassany, 2006; Carlino, 2005). Es por esto que, se visibilizan en las particularidades de las disciplinas y en los contextos en que se divulga.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ámbito académico se apropia de géneros discursivos y códigos del lenguaje particulares (Parodi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2010). Por lo tanto, la responsabilidad en la formación de profesionales idóneos se ancla a las acciones que emprenden los docentes de todas las áreas del conocimiento para preparar y hacer parte al estudiantado de la comprensión y producción de textos propios de su comunidad discursiva (Bazerman,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2005, 2012; Carlino, 2005; Castelló, 2009; Russell, 1990). Podríamos añadir que, la enseñanza de la escritura académica es determinada por las estrategias de mediación que los maestros en ejercicio emprenden y por lo intereses escriturales que los maestros en formación develan en su quehacer. Más allá de la producción de un texto coherente, se requieren de un texto que sin olvidarse de ello, recaben en las reflexiones, en la sistematización y en la configuración de una postura académica, por lo tanto, el espacio académico de </w:t>
      </w:r>
      <w:r w:rsidDel="00000000" w:rsidR="00000000" w:rsidRPr="00000000">
        <w:rPr>
          <w:rFonts w:ascii="Times New Roman" w:cs="Times New Roman" w:eastAsia="Times New Roman" w:hAnsi="Times New Roman"/>
          <w:i w:val="1"/>
          <w:sz w:val="24"/>
          <w:szCs w:val="24"/>
          <w:rtl w:val="0"/>
        </w:rPr>
        <w:t xml:space="preserve">Comprensión lectora y producción textual II </w:t>
      </w:r>
      <w:r w:rsidDel="00000000" w:rsidR="00000000" w:rsidRPr="00000000">
        <w:rPr>
          <w:rFonts w:ascii="Times New Roman" w:cs="Times New Roman" w:eastAsia="Times New Roman" w:hAnsi="Times New Roman"/>
          <w:sz w:val="24"/>
          <w:szCs w:val="24"/>
          <w:rtl w:val="0"/>
        </w:rPr>
        <w:t xml:space="preserve">se vale de los recursos humanos, académicos y tecnológicos para acercar a los maestros en formación a la divulgación de sus saberes y conocimientos que se gestan en las realidades vividas en su Práctica Pedagógica Investigativa y que se configura en la producción de artículos de reflexión.</w:t>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 DE APRENDIZAJE: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 PRINCIPAL DE APRENDIZAJE DEL ESPACIO ACADÉMICO</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maestro en formación estará en capacidad de producir un artículo de reflexión a partir de la apropiación de su superestructura y en el cual devela las reflexiones que se gestan en el marco de la Práctica Pedagógica Investigativa.</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sectPr>
          <w:headerReference r:id="rId7" w:type="default"/>
          <w:pgSz w:h="15840" w:w="12240" w:orient="portrait"/>
          <w:pgMar w:bottom="1440" w:top="1440" w:left="1080" w:right="1080" w:header="708" w:footer="708"/>
          <w:pgNumType w:start="1"/>
        </w:sect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w:t>
      </w:r>
    </w:p>
    <w:tbl>
      <w:tblPr>
        <w:tblStyle w:val="Table2"/>
        <w:tblW w:w="14885.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1701"/>
        <w:gridCol w:w="3360"/>
        <w:gridCol w:w="1885"/>
        <w:gridCol w:w="3260"/>
        <w:gridCol w:w="2410"/>
        <w:tblGridChange w:id="0">
          <w:tblGrid>
            <w:gridCol w:w="2269"/>
            <w:gridCol w:w="1701"/>
            <w:gridCol w:w="3360"/>
            <w:gridCol w:w="1885"/>
            <w:gridCol w:w="3260"/>
            <w:gridCol w:w="2410"/>
          </w:tblGrid>
        </w:tblGridChange>
      </w:tblGrid>
      <w:tr>
        <w:trPr>
          <w:cantSplit w:val="0"/>
          <w:trHeight w:val="419" w:hRule="atLeast"/>
          <w:tblHeader w:val="0"/>
        </w:trPr>
        <w:tc>
          <w:tcPr>
            <w:gridSpan w:val="6"/>
            <w:shd w:fill="ffc000" w:val="clear"/>
            <w:vAlign w:val="center"/>
          </w:tcPr>
          <w:p w:rsidR="00000000" w:rsidDel="00000000" w:rsidP="00000000" w:rsidRDefault="00000000" w:rsidRPr="00000000" w14:paraId="00000031">
            <w:pPr>
              <w:pStyle w:val="Heading2"/>
              <w:jc w:val="center"/>
              <w:rPr>
                <w:color w:val="000000"/>
                <w:sz w:val="20"/>
                <w:szCs w:val="20"/>
              </w:rPr>
            </w:pPr>
            <w:bookmarkStart w:colFirst="0" w:colLast="0" w:name="_heading=h.gjdgxs" w:id="0"/>
            <w:bookmarkEnd w:id="0"/>
            <w:r w:rsidDel="00000000" w:rsidR="00000000" w:rsidRPr="00000000">
              <w:rPr>
                <w:color w:val="000000"/>
                <w:sz w:val="20"/>
                <w:szCs w:val="20"/>
                <w:rtl w:val="0"/>
              </w:rPr>
              <w:t xml:space="preserve">5.1 ESPECIFICAS:</w:t>
            </w:r>
          </w:p>
        </w:tc>
      </w:tr>
      <w:tr>
        <w:trPr>
          <w:cantSplit w:val="0"/>
          <w:trHeight w:val="698" w:hRule="atLeast"/>
          <w:tblHeader w:val="0"/>
        </w:trPr>
        <w:tc>
          <w:tcPr>
            <w:vAlign w:val="center"/>
          </w:tcPr>
          <w:p w:rsidR="00000000" w:rsidDel="00000000" w:rsidP="00000000" w:rsidRDefault="00000000" w:rsidRPr="00000000" w14:paraId="00000037">
            <w:pPr>
              <w:pStyle w:val="Heading3"/>
              <w:jc w:val="both"/>
              <w:rPr>
                <w:rFonts w:ascii="Times New Roman" w:cs="Times New Roman" w:eastAsia="Times New Roman" w:hAnsi="Times New Roman"/>
                <w:b w:val="1"/>
                <w:color w:val="000000"/>
                <w:sz w:val="20"/>
                <w:szCs w:val="20"/>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0"/>
                <w:szCs w:val="20"/>
                <w:rtl w:val="0"/>
              </w:rPr>
              <w:t xml:space="preserve">Competencias específicas</w:t>
            </w:r>
          </w:p>
        </w:tc>
        <w:tc>
          <w:tcPr>
            <w:vAlign w:val="center"/>
          </w:tcPr>
          <w:p w:rsidR="00000000" w:rsidDel="00000000" w:rsidP="00000000" w:rsidRDefault="00000000" w:rsidRPr="00000000" w14:paraId="00000038">
            <w:pPr>
              <w:pStyle w:val="Heading3"/>
              <w:jc w:val="both"/>
              <w:rPr>
                <w:rFonts w:ascii="Times New Roman" w:cs="Times New Roman" w:eastAsia="Times New Roman" w:hAnsi="Times New Roman"/>
                <w:b w:val="1"/>
                <w:color w:val="000000"/>
                <w:sz w:val="20"/>
                <w:szCs w:val="20"/>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0"/>
                <w:szCs w:val="20"/>
                <w:rtl w:val="0"/>
              </w:rPr>
              <w:t xml:space="preserve">Ejes problémicos</w:t>
            </w:r>
          </w:p>
        </w:tc>
        <w:tc>
          <w:tcPr>
            <w:vAlign w:val="center"/>
          </w:tcPr>
          <w:p w:rsidR="00000000" w:rsidDel="00000000" w:rsidP="00000000" w:rsidRDefault="00000000" w:rsidRPr="00000000" w14:paraId="00000039">
            <w:pPr>
              <w:pStyle w:val="Heading3"/>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Contenidos </w:t>
            </w:r>
          </w:p>
        </w:tc>
        <w:tc>
          <w:tcPr>
            <w:vAlign w:val="center"/>
          </w:tcPr>
          <w:p w:rsidR="00000000" w:rsidDel="00000000" w:rsidP="00000000" w:rsidRDefault="00000000" w:rsidRPr="00000000" w14:paraId="0000003A">
            <w:pPr>
              <w:pStyle w:val="Heading3"/>
              <w:jc w:val="both"/>
              <w:rPr>
                <w:rFonts w:ascii="Times New Roman" w:cs="Times New Roman" w:eastAsia="Times New Roman" w:hAnsi="Times New Roman"/>
                <w:b w:val="1"/>
                <w:color w:val="000000"/>
                <w:sz w:val="20"/>
                <w:szCs w:val="20"/>
              </w:rPr>
            </w:pPr>
            <w:bookmarkStart w:colFirst="0" w:colLast="0" w:name="_heading=h.3znysh7" w:id="3"/>
            <w:bookmarkEnd w:id="3"/>
            <w:r w:rsidDel="00000000" w:rsidR="00000000" w:rsidRPr="00000000">
              <w:rPr>
                <w:rFonts w:ascii="Times New Roman" w:cs="Times New Roman" w:eastAsia="Times New Roman" w:hAnsi="Times New Roman"/>
                <w:b w:val="1"/>
                <w:color w:val="000000"/>
                <w:sz w:val="20"/>
                <w:szCs w:val="20"/>
                <w:rtl w:val="0"/>
              </w:rPr>
              <w:t xml:space="preserve">Indicadores conceptuales</w:t>
            </w:r>
          </w:p>
        </w:tc>
        <w:tc>
          <w:tcPr>
            <w:vAlign w:val="center"/>
          </w:tcPr>
          <w:p w:rsidR="00000000" w:rsidDel="00000000" w:rsidP="00000000" w:rsidRDefault="00000000" w:rsidRPr="00000000" w14:paraId="0000003B">
            <w:pPr>
              <w:pStyle w:val="Heading3"/>
              <w:jc w:val="both"/>
              <w:rPr>
                <w:rFonts w:ascii="Times New Roman" w:cs="Times New Roman" w:eastAsia="Times New Roman" w:hAnsi="Times New Roman"/>
                <w:b w:val="1"/>
                <w:color w:val="000000"/>
                <w:sz w:val="20"/>
                <w:szCs w:val="20"/>
              </w:rPr>
            </w:pPr>
            <w:bookmarkStart w:colFirst="0" w:colLast="0" w:name="_heading=h.2et92p0" w:id="4"/>
            <w:bookmarkEnd w:id="4"/>
            <w:r w:rsidDel="00000000" w:rsidR="00000000" w:rsidRPr="00000000">
              <w:rPr>
                <w:rFonts w:ascii="Times New Roman" w:cs="Times New Roman" w:eastAsia="Times New Roman" w:hAnsi="Times New Roman"/>
                <w:b w:val="1"/>
                <w:color w:val="000000"/>
                <w:sz w:val="20"/>
                <w:szCs w:val="20"/>
                <w:rtl w:val="0"/>
              </w:rPr>
              <w:t xml:space="preserve">Indicadores procedimentales</w:t>
            </w:r>
          </w:p>
        </w:tc>
        <w:tc>
          <w:tcPr>
            <w:vAlign w:val="center"/>
          </w:tcPr>
          <w:p w:rsidR="00000000" w:rsidDel="00000000" w:rsidP="00000000" w:rsidRDefault="00000000" w:rsidRPr="00000000" w14:paraId="0000003C">
            <w:pPr>
              <w:pStyle w:val="Heading3"/>
              <w:jc w:val="both"/>
              <w:rPr>
                <w:rFonts w:ascii="Times New Roman" w:cs="Times New Roman" w:eastAsia="Times New Roman" w:hAnsi="Times New Roman"/>
                <w:b w:val="1"/>
                <w:color w:val="000000"/>
                <w:sz w:val="20"/>
                <w:szCs w:val="20"/>
              </w:rPr>
            </w:pPr>
            <w:bookmarkStart w:colFirst="0" w:colLast="0" w:name="_heading=h.tyjcwt" w:id="5"/>
            <w:bookmarkEnd w:id="5"/>
            <w:r w:rsidDel="00000000" w:rsidR="00000000" w:rsidRPr="00000000">
              <w:rPr>
                <w:rFonts w:ascii="Times New Roman" w:cs="Times New Roman" w:eastAsia="Times New Roman" w:hAnsi="Times New Roman"/>
                <w:b w:val="1"/>
                <w:color w:val="000000"/>
                <w:sz w:val="20"/>
                <w:szCs w:val="20"/>
                <w:rtl w:val="0"/>
              </w:rPr>
              <w:t xml:space="preserve">Indicadores actitudinales</w:t>
            </w:r>
          </w:p>
        </w:tc>
      </w:tr>
      <w:tr>
        <w:trPr>
          <w:cantSplit w:val="0"/>
          <w:trHeight w:val="636" w:hRule="atLeast"/>
          <w:tblHeader w:val="0"/>
        </w:trPr>
        <w:tc>
          <w:tcPr/>
          <w:p w:rsidR="00000000" w:rsidDel="00000000" w:rsidP="00000000" w:rsidRDefault="00000000" w:rsidRPr="00000000" w14:paraId="0000003D">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Produce un artículo de reflexión en torno a las experiencias de Práctica Pedagógica Investigativa e identifica estrategias para la comprensión textual, desde las cuales se entiende que la escritura es un proceso mediado por la planificación, la producción, la revisión y la reescritura.</w:t>
            </w:r>
          </w:p>
        </w:tc>
        <w:tc>
          <w:tcPr/>
          <w:p w:rsidR="00000000" w:rsidDel="00000000" w:rsidP="00000000" w:rsidRDefault="00000000" w:rsidRPr="00000000" w14:paraId="0000003E">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¿Por qué la escritura académica y, en especial, la escritura de un artículo de reflexión fortalecen la identidad reflexiva del Normalista Superior?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0">
            <w:pPr>
              <w:tabs>
                <w:tab w:val="left" w:pos="284"/>
              </w:tabs>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LOS TEXTOS ACADÉMICOS </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20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Dimensiones y niveles textuales.</w:t>
            </w:r>
          </w:p>
          <w:p w:rsidR="00000000" w:rsidDel="00000000" w:rsidP="00000000" w:rsidRDefault="00000000" w:rsidRPr="00000000" w14:paraId="00000042">
            <w:pPr>
              <w:tabs>
                <w:tab w:val="left" w:pos="284"/>
              </w:tabs>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TIPOLOGÍA ARGUMENTATIVA</w:t>
            </w:r>
          </w:p>
          <w:p w:rsidR="00000000" w:rsidDel="00000000" w:rsidP="00000000" w:rsidRDefault="00000000" w:rsidRPr="00000000" w14:paraId="00000043">
            <w:pPr>
              <w:numPr>
                <w:ilvl w:val="0"/>
                <w:numId w:val="6"/>
              </w:numPr>
              <w:tabs>
                <w:tab w:val="left" w:pos="284"/>
              </w:tabs>
              <w:spacing w:after="0" w:line="240" w:lineRule="auto"/>
              <w:ind w:left="7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Falacias: Ad hominem, Ad ignorantiam, Ad misericordiam y Ad populum, entre otros.</w:t>
            </w:r>
          </w:p>
          <w:p w:rsidR="00000000" w:rsidDel="00000000" w:rsidP="00000000" w:rsidRDefault="00000000" w:rsidRPr="00000000" w14:paraId="00000044">
            <w:pPr>
              <w:tabs>
                <w:tab w:val="left" w:pos="284"/>
              </w:tabs>
              <w:spacing w:after="0" w:line="240" w:lineRule="auto"/>
              <w:ind w:left="78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tabs>
                <w:tab w:val="left" w:pos="284"/>
              </w:tabs>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6">
            <w:pPr>
              <w:tabs>
                <w:tab w:val="left" w:pos="284"/>
              </w:tabs>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GÉNEROS DISCURSIVOS POR ESCRIBIR</w:t>
            </w:r>
          </w:p>
          <w:p w:rsidR="00000000" w:rsidDel="00000000" w:rsidP="00000000" w:rsidRDefault="00000000" w:rsidRPr="00000000" w14:paraId="00000047">
            <w:pPr>
              <w:numPr>
                <w:ilvl w:val="0"/>
                <w:numId w:val="7"/>
              </w:numPr>
              <w:tabs>
                <w:tab w:val="left" w:pos="284"/>
              </w:tabs>
              <w:spacing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Superestructura del artículo de reflexión.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Discurso docente como acción didáctica: Efectos perlocutivos del discurso docente (No asertividad, eufemismo, asertividad, Ironía antifrástica, Ironía ecoica, sarcasmo, sátira, Insulto)</w:t>
            </w:r>
          </w:p>
          <w:p w:rsidR="00000000" w:rsidDel="00000000" w:rsidP="00000000" w:rsidRDefault="00000000" w:rsidRPr="00000000" w14:paraId="00000049">
            <w:pPr>
              <w:tabs>
                <w:tab w:val="left" w:pos="284"/>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tabs>
                <w:tab w:val="left" w:pos="284"/>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PAUTAS BÁSICAS DE REDACCIÓN </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Gerundio </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20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coma, el punto y como, dos puntos y puntos suspensivos</w:t>
            </w:r>
          </w:p>
          <w:p w:rsidR="00000000" w:rsidDel="00000000" w:rsidP="00000000" w:rsidRDefault="00000000" w:rsidRPr="00000000" w14:paraId="0000004D">
            <w:pPr>
              <w:tabs>
                <w:tab w:val="left" w:pos="284"/>
              </w:tabs>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ESTRATEGIAS PARA REVISIÓN DEL EJERCICIO ESCRITURAL:</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Revisión individual</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Revisión entre pares </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20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Revisión colaborativa</w:t>
            </w:r>
          </w:p>
          <w:p w:rsidR="00000000" w:rsidDel="00000000" w:rsidP="00000000" w:rsidRDefault="00000000" w:rsidRPr="00000000" w14:paraId="00000051">
            <w:pPr>
              <w:tabs>
                <w:tab w:val="left" w:pos="284"/>
              </w:tabs>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NORMAS PARA LA REDACCIÓN DE TEXTOS ACADÉMICOS</w:t>
            </w:r>
          </w:p>
          <w:p w:rsidR="00000000" w:rsidDel="00000000" w:rsidP="00000000" w:rsidRDefault="00000000" w:rsidRPr="00000000" w14:paraId="00000052">
            <w:pPr>
              <w:numPr>
                <w:ilvl w:val="0"/>
                <w:numId w:val="1"/>
              </w:numPr>
              <w:tabs>
                <w:tab w:val="left" w:pos="284"/>
              </w:tabs>
              <w:spacing w:after="0" w:line="240" w:lineRule="auto"/>
              <w:ind w:left="7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Normas básicas estilo APA</w:t>
            </w:r>
          </w:p>
          <w:p w:rsidR="00000000" w:rsidDel="00000000" w:rsidP="00000000" w:rsidRDefault="00000000" w:rsidRPr="00000000" w14:paraId="00000053">
            <w:pPr>
              <w:numPr>
                <w:ilvl w:val="0"/>
                <w:numId w:val="1"/>
              </w:numPr>
              <w:tabs>
                <w:tab w:val="left" w:pos="284"/>
              </w:tabs>
              <w:spacing w:after="0" w:line="240" w:lineRule="auto"/>
              <w:ind w:left="7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Citas vs referencia</w:t>
            </w:r>
          </w:p>
          <w:p w:rsidR="00000000" w:rsidDel="00000000" w:rsidP="00000000" w:rsidRDefault="00000000" w:rsidRPr="00000000" w14:paraId="00000054">
            <w:pPr>
              <w:numPr>
                <w:ilvl w:val="0"/>
                <w:numId w:val="1"/>
              </w:numPr>
              <w:tabs>
                <w:tab w:val="left" w:pos="284"/>
              </w:tabs>
              <w:spacing w:line="240" w:lineRule="auto"/>
              <w:ind w:left="7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Plagio</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Identifica dimensiones y niveles textuales para la comprensión de textos académicos.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Compara diversas falacias que se configuran en el discurso docente.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Identifica la superestructura del artículo de reflexión.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Reconoce las diferencias entre las diversas manifestaciones o efectos perlocutivos del lenguaje docente.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Compara estrategias de revisión (individual, entre pares y colaborativa) en la producción del artículo de reflexión.</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Identifica las normas básicas en estilo APA para la producción del artículo de reflexión.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Diferencia citas y referencias de acuerdo con las normas estilo APA.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Desarrolla planificación de la escritura bajo las superestructuras textuales de la tipología y género en específico.</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Elabora un artículo de reflexión a partir de las experiencias en la Práctica Pedagógica Investigativa.</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Elabora citas y referencias bibliográficas a la luz de las normas básicas en estilo APA.</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Reconoce la importancia de la planificación y reescritura de los textos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Valora la necesidad de producir estrategias de escrituras acordes con el nivel y grado de formación y; a su vez, reconoce la importancia de generar procesos de escritura bajo un enfoque funcional de la lengua.</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Reconoce la importancia del discurso docente como acción didáctica y efectos perlocutivos que este acarrea en el quehacer de la práctica pedagógica.</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Destaca la importancia del reconocimiento de los derechos de autor y el no plagio en la producción de textos académicos.</w:t>
            </w:r>
          </w:p>
        </w:tc>
      </w:tr>
      <w:tr>
        <w:trPr>
          <w:cantSplit w:val="0"/>
          <w:trHeight w:val="419" w:hRule="atLeast"/>
          <w:tblHeader w:val="0"/>
        </w:trPr>
        <w:tc>
          <w:tcPr>
            <w:gridSpan w:val="6"/>
            <w:shd w:fill="ffc000" w:val="clear"/>
            <w:vAlign w:val="center"/>
          </w:tcPr>
          <w:p w:rsidR="00000000" w:rsidDel="00000000" w:rsidP="00000000" w:rsidRDefault="00000000" w:rsidRPr="00000000" w14:paraId="00000071">
            <w:pPr>
              <w:pStyle w:val="Heading2"/>
              <w:jc w:val="center"/>
              <w:rPr>
                <w:color w:val="000000"/>
              </w:rPr>
            </w:pPr>
            <w:bookmarkStart w:colFirst="0" w:colLast="0" w:name="_heading=h.3dy6vkm" w:id="6"/>
            <w:bookmarkEnd w:id="6"/>
            <w:r w:rsidDel="00000000" w:rsidR="00000000" w:rsidRPr="00000000">
              <w:rPr>
                <w:color w:val="000000"/>
                <w:rtl w:val="0"/>
              </w:rPr>
              <w:t xml:space="preserve">5.2 GENÉRICAS:  </w:t>
            </w:r>
          </w:p>
        </w:tc>
      </w:tr>
      <w:tr>
        <w:trPr>
          <w:cantSplit w:val="0"/>
          <w:trHeight w:val="351" w:hRule="atLeast"/>
          <w:tblHeader w:val="0"/>
        </w:trPr>
        <w:tc>
          <w:tcPr>
            <w:gridSpan w:val="2"/>
            <w:vAlign w:val="center"/>
          </w:tcPr>
          <w:p w:rsidR="00000000" w:rsidDel="00000000" w:rsidP="00000000" w:rsidRDefault="00000000" w:rsidRPr="00000000" w14:paraId="00000077">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Competencia genérica:</w:t>
            </w:r>
          </w:p>
        </w:tc>
        <w:tc>
          <w:tcPr>
            <w:gridSpan w:val="2"/>
            <w:vAlign w:val="center"/>
          </w:tcPr>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Actividad por realizar </w:t>
            </w:r>
          </w:p>
        </w:tc>
      </w:tr>
      <w:tr>
        <w:trPr>
          <w:cantSplit w:val="0"/>
          <w:trHeight w:val="351" w:hRule="atLeast"/>
          <w:tblHeader w:val="0"/>
        </w:trPr>
        <w:tc>
          <w:tcPr>
            <w:gridSpan w:val="2"/>
            <w:vAlign w:val="center"/>
          </w:tcPr>
          <w:p w:rsidR="00000000" w:rsidDel="00000000" w:rsidP="00000000" w:rsidRDefault="00000000" w:rsidRPr="00000000" w14:paraId="0000007D">
            <w:pPr>
              <w:pStyle w:val="Heading3"/>
              <w:jc w:val="both"/>
              <w:rPr>
                <w:rFonts w:ascii="Times New Roman" w:cs="Times New Roman" w:eastAsia="Times New Roman" w:hAnsi="Times New Roman"/>
                <w:b w:val="1"/>
                <w:color w:val="000000"/>
              </w:rPr>
            </w:pPr>
            <w:bookmarkStart w:colFirst="0" w:colLast="0" w:name="_heading=h.1t3h5sf" w:id="7"/>
            <w:bookmarkEnd w:id="7"/>
            <w:r w:rsidDel="00000000" w:rsidR="00000000" w:rsidRPr="00000000">
              <w:rPr>
                <w:rFonts w:ascii="Times New Roman" w:cs="Times New Roman" w:eastAsia="Times New Roman" w:hAnsi="Times New Roman"/>
                <w:b w:val="1"/>
                <w:color w:val="000000"/>
                <w:rtl w:val="0"/>
              </w:rPr>
              <w:t xml:space="preserve">LECTURA CRÍTICA</w:t>
            </w:r>
          </w:p>
        </w:tc>
        <w:tc>
          <w:tcPr>
            <w:gridSpan w:val="2"/>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 cómo se articulan las partes de un texto para darle un sentido global.</w:t>
            </w:r>
          </w:p>
        </w:tc>
        <w:tc>
          <w:tcPr>
            <w:gridSpan w:val="2"/>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maestro en formación comprende la estructura formal de un texto y la función de sus partes como medio de reflexión del quehacer docente.</w:t>
            </w:r>
          </w:p>
        </w:tc>
      </w:tr>
      <w:tr>
        <w:trPr>
          <w:cantSplit w:val="0"/>
          <w:trHeight w:val="351" w:hRule="atLeast"/>
          <w:tblHeader w:val="0"/>
        </w:trPr>
        <w:tc>
          <w:tcPr>
            <w:gridSpan w:val="2"/>
            <w:vAlign w:val="center"/>
          </w:tcPr>
          <w:p w:rsidR="00000000" w:rsidDel="00000000" w:rsidP="00000000" w:rsidRDefault="00000000" w:rsidRPr="00000000" w14:paraId="00000083">
            <w:pPr>
              <w:pStyle w:val="Heading3"/>
              <w:jc w:val="both"/>
              <w:rPr>
                <w:rFonts w:ascii="Times New Roman" w:cs="Times New Roman" w:eastAsia="Times New Roman" w:hAnsi="Times New Roman"/>
                <w:b w:val="1"/>
                <w:color w:val="000000"/>
              </w:rPr>
            </w:pPr>
            <w:bookmarkStart w:colFirst="0" w:colLast="0" w:name="_heading=h.4d34og8" w:id="8"/>
            <w:bookmarkEnd w:id="8"/>
            <w:r w:rsidDel="00000000" w:rsidR="00000000" w:rsidRPr="00000000">
              <w:rPr>
                <w:rFonts w:ascii="Times New Roman" w:cs="Times New Roman" w:eastAsia="Times New Roman" w:hAnsi="Times New Roman"/>
                <w:b w:val="1"/>
                <w:color w:val="000000"/>
                <w:rtl w:val="0"/>
              </w:rPr>
              <w:t xml:space="preserve">COMPETENCIAS CIUDADANAS</w:t>
            </w:r>
          </w:p>
        </w:tc>
        <w:tc>
          <w:tcPr>
            <w:gridSpan w:val="2"/>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Tiene la capacidad de reconstruir y comprender la realidad social desde una perspectiva sistémica, mediante la identificación y construcción de relaciones entre las distintas dimensiones o aspectos presentes en los problemas sociales y en sus posibles alternativas de solución</w:t>
            </w:r>
            <w:r w:rsidDel="00000000" w:rsidR="00000000" w:rsidRPr="00000000">
              <w:rPr>
                <w:rtl w:val="0"/>
              </w:rPr>
            </w:r>
          </w:p>
        </w:tc>
        <w:tc>
          <w:tcPr>
            <w:gridSpan w:val="2"/>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maestro en formación comprende la realidad social que se configura en su Práctica Pedagógica Investigativa a través del análisis de los resultados de los procesos de investigación que se gestan en el marco de los Macroproyectos de la Práctica Pedagógica Investigativa.</w:t>
            </w:r>
          </w:p>
        </w:tc>
      </w:tr>
    </w:tb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sectPr>
          <w:type w:val="nextPage"/>
          <w:pgSz w:h="12240" w:w="15840" w:orient="landscape"/>
          <w:pgMar w:bottom="1077" w:top="1077" w:left="1440" w:right="1440" w:header="709" w:footer="709"/>
        </w:sect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ARTICULACIÓN DEL ESPACIO ACADÉMICO CON LA PRÁCTICA PEDAGÓGICA Y LÍNEAS DE INVESTIGACIÓN EN EL MARCO INSTITUCIONAL:</w:t>
      </w:r>
    </w:p>
    <w:p w:rsidR="00000000" w:rsidDel="00000000" w:rsidP="00000000" w:rsidRDefault="00000000" w:rsidRPr="00000000" w14:paraId="000000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procesos de escritura están ligados intrínsecamente a la acción docente y se convierten en el puente para la reflexión del quehacer pedagógico. Por lo tanto, el espacio académico </w:t>
      </w:r>
      <w:r w:rsidDel="00000000" w:rsidR="00000000" w:rsidRPr="00000000">
        <w:rPr>
          <w:rFonts w:ascii="Times New Roman" w:cs="Times New Roman" w:eastAsia="Times New Roman" w:hAnsi="Times New Roman"/>
          <w:i w:val="1"/>
          <w:sz w:val="24"/>
          <w:szCs w:val="24"/>
          <w:rtl w:val="0"/>
        </w:rPr>
        <w:t xml:space="preserve">Comprensión y producción textual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II</w:t>
      </w:r>
      <w:r w:rsidDel="00000000" w:rsidR="00000000" w:rsidRPr="00000000">
        <w:rPr>
          <w:rFonts w:ascii="Times New Roman" w:cs="Times New Roman" w:eastAsia="Times New Roman" w:hAnsi="Times New Roman"/>
          <w:sz w:val="24"/>
          <w:szCs w:val="24"/>
          <w:rtl w:val="0"/>
        </w:rPr>
        <w:t xml:space="preserve"> está ligado directamente a los procesos de investigación en el marco institucional, pues permite a los estudiantes cualificar, sustentar, criticar y reflexionar en torno a los procesos de intervención de la Práctica Pedagógica Investigativa en el marco de los macro proyectos planteados por en el Programa de Formación Complementaria.</w:t>
      </w:r>
    </w:p>
    <w:p w:rsidR="00000000" w:rsidDel="00000000" w:rsidP="00000000" w:rsidRDefault="00000000" w:rsidRPr="00000000" w14:paraId="0000008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METODOLOGÍA</w:t>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procesos de enseñanza y aprendizaje en este espacio académico se fundamentarán bajo hacia la reflexión colectiva para la consolidación de los textos, por lo cual se destinarán momentos de socialización y reflexión oral de los procesos escritos.</w:t>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mismo, el espacio académico de </w:t>
      </w:r>
      <w:r w:rsidDel="00000000" w:rsidR="00000000" w:rsidRPr="00000000">
        <w:rPr>
          <w:rFonts w:ascii="Times New Roman" w:cs="Times New Roman" w:eastAsia="Times New Roman" w:hAnsi="Times New Roman"/>
          <w:i w:val="1"/>
          <w:sz w:val="24"/>
          <w:szCs w:val="24"/>
          <w:rtl w:val="0"/>
        </w:rPr>
        <w:t xml:space="preserve">Comprensión y producción textual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II</w:t>
      </w:r>
      <w:r w:rsidDel="00000000" w:rsidR="00000000" w:rsidRPr="00000000">
        <w:rPr>
          <w:rFonts w:ascii="Times New Roman" w:cs="Times New Roman" w:eastAsia="Times New Roman" w:hAnsi="Times New Roman"/>
          <w:sz w:val="24"/>
          <w:szCs w:val="24"/>
          <w:rtl w:val="0"/>
        </w:rPr>
        <w:t xml:space="preserve"> permitirá el desarrollo de actividades de carácter teórico y práctico como base para la adquisición de las competencias básicas del docente en formación. </w:t>
      </w:r>
    </w:p>
    <w:p w:rsidR="00000000" w:rsidDel="00000000" w:rsidP="00000000" w:rsidRDefault="00000000" w:rsidRPr="00000000" w14:paraId="0000009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Actividades Teóricas: </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Documentación previa para el análisis y reflexión en los espacios de clase y como contraste a los saberes previos de los maestros en formación. </w:t>
      </w:r>
    </w:p>
    <w:p w:rsidR="00000000" w:rsidDel="00000000" w:rsidP="00000000" w:rsidRDefault="00000000" w:rsidRPr="00000000" w14:paraId="0000009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Actividades prácticas: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Análisis de textos escritos, superestructuras, planificación y producción textual individual y grupal para el desarrollo de estrategias de revisión que permitan la reescritura.</w:t>
      </w:r>
    </w:p>
    <w:p w:rsidR="00000000" w:rsidDel="00000000" w:rsidP="00000000" w:rsidRDefault="00000000" w:rsidRPr="00000000" w14:paraId="0000009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Tomando como referente el enfoque pedagógico institucional y el desarrollo de competencias comunicativas (leer, escribir, escuchar y hablar), se tendrá en cuenta aspectos del ser como la actitud, disposición y compromiso con su proceso académico; en relación con el hacer, realizarán actividades como exposiciones, trabajos de lectura, debates, foros, talleres, entre otros, evaluaciones de los textos reescritos. Igualmente se tendrá en cuenta los siguientes aspectos de la competencia: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Apropiación de contenidos reflejados en la producción escrita y oral. </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Trabajo productivo en los grupos colaborativos, desarrollo de relaciones, dinámicas de interacción en el aula, responsabilidad, ética del compromiso, respeto sujeción a la autoridad, asistencia, puntualidad, interés y propósito de formación; actitud pedagógica.</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Presentación de la postura crítica frente a los procesos pedagógicos abordados en las producciones textuales.</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Presentación de producto escrito fruto de los ejercicios escriturales desarrollados en el espacio académico, así como en su Práctica Pedagógica Investigativa (artículo de reflexión).</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BIBLIOGRAFÍA Y WEBGRAFÍA:</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Alvarado, M. y Yeannoteguy, A. (2000) La escritura y sus formas discursivas. Curso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introductorio, 1ª Reimpresión. Buenos Aires: Ed. Universitaria.</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Álvarez, M. (1999). Tipos de escrito II: Exposición y argumentación. Madrid: Arco/ Libros.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Álvarez, T. (2000). Tipología de textos y enseñanza de la lengua. Madrid: U.C.M.</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Álvarez, T. (2001). Textos expositivo-explicativos y argumentativos. Barcelona: Octaedro.</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Bordes, M. (2011). Las trampas de Circe: Falacias lógicas y argumentación informal. Madrid: Cátedra.</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Buzan, T. y Buzan, B. (1996). El libro de los mapas mentales. Barcelona: Ed. Urano.</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Calsamiglia, H. y Tusón, A. (2012). Las cosas del decir. Manual de análisis del discurso. 2ª. ed. Barcelona: Ariel, 1999.</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Camargo. Z., Uribe, G. y Caro, M. Á. (2011). Didáctica de la comprensión y producción de textos académicos. Armenia: Universidad del Quindío.</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Camargo, Z.; Uribe, G. y Zambrano-Valencia, J. D. (2013). “Prácticas de lectura y escritura en la universidad colombiana. El caso de la Universidad del Quindío”. Sophia, Universidad La Gran Colombia, (9): 55-68.</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Camps, A. (1990). Modelos del proceso de redacción: Algunas implicaciones para la enseñanza. En Infancia y aprendizaje, 49, 3-19. Barcelona.</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Carlino, P. (2003). “Leer textos científicos y académicos en la educación superior: obstáculos y bienvenidas a la nueva cultura”. Ponencia presentada en el 6° Congreso Internacional de Promoción de la Lectura y el Libro. Buenos Aires.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Caro, M. Á. (2007). El texto argumentativo y su transposición didáctica (en busca de un hilo de Weston para huir de un Minotauro). Cuadernos Interdisciplinarios Pedagógicos, 8, 69-81.</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Cassany, D., Luna, M. y Sanz, G. (1994). Enseñar lengua. Barcelona: Graó: 2000.</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Cassany, D.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cocina de la escritura.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Barcelona: Anagrama.</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Cattani, A. (2003). Los usos de la retórica, trad. P. Linares. Madrid: Alianza.</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Castelló, M. (2009). Aprender a escribir textos académicos: ¿Copistas, escribas o escritores? En J. I. Pozo y M. Pérez (Coords.). Psicología del aprendizaje universitario: La formación en competencias. Madrid: Morata, p. 120-133.</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Clarena Muñoz Dagua, G. A.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Manual de escritura académica.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Cooperativa Editorial Magisterio.</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Chevallard, Y. (1991). La transposición didáctica. C. Gilman (Trad.). Argentina: Aique.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Didactext (Grupo) (2015). “Nuevo marco para la producción de textos académicos”. Didáctica. Lengua y Literatura, Universidad Complutense Madrid, 27: 219-254.</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Didactext (Grupo) (2018). Formación de expertos en escritura para acompañar en la redacción del género ensayo en las materias del currículo de Secundaria. Madrid: Universidad Complutense de Madrid.</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Dijk, T. A. van y Kintsch, W. (1978): “Towards a model of discourse comprehension and production”, Psychological Review, 85: 363-394.</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Dijk, T. A. van y Kintsch, W. (1983). Strategies of Discourse Comprehension, N.Y., Academic Press.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Ducrot, O. (1988). Polifonía y argumentación. Conferencias del Seminario Teoría de la argumentación y análisis del discurso. Trads. A. Campo y E. Rodríguez. Cali: Universidad del Valle.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Dolz, J. (2010). “Claves para enseñar a escribir”. En Ministerio de Educación. Secretaria de Estado de Educación y Formación Profesional (ed.), Con firma 2010. Leer para aprender. Leer en la era digital (pp. 85-91). España.</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Gaskins, I. y Elliot, Th. (1999). Cómo enseñar estrategias cognitivas en la escuela. Buenos Aires: Paidós.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Gumpers, J. y Hymes, D. (1972). Directions in sociolinguistics. The ethnography of communication. New York: Basil Blackwell.</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Hernández, A. y Quintero, A. (2001). Mejorando la composición escrita. Estrategias de aprendizaje. Málaga: Aljibe.</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Hymes, D. (1971). “On communicative competence”, en J. Pride y J. Colmes (Eds.). Sociolinguistics. Harmonsworth (Reino Unido): Penguin Books.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Kintsch, W. (1998). Comprehension. A paradigm for cognition. Cambridge University Press.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Krystal, A. (2009). Cuando los escritores hablan. Revista El Malpensante, no. 103, p. 25.</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Martínez, M. C. (2002) Estrategias de lectura y escritura de textos. Perspectivas teóricas y talleres. Cátedra Unesco para la Lectura y la Escritura. Cali: Taller de la unidad de artes gráficas. Facultad de humanidades, Universidad del Valle.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Mateos, M. (2009). Aprender a leer textos académicos: más allá de la lectura reproductiva. En J. I. Pozo y M. Pérez (Coords.). Psicología del aprendizaje universitario: La formación en competencias. Madrid: Morata, p. 106-119.</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Miranda, T. (1995). El juego de la argumentación. Madrid: Ediciones de la Torre.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Nussbaum, M. (2012). El cultivo de la humanidad: Una defensa clásica de la reforma en la educación liberal (2ª ed., trad. Juana Pailaya). Barcelona: Paidós.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Nussbaum, M. (2010). Sin fines de lucro. Por qué la democracia necesita de las humanidades (trad. María Victoria Rodil). Buenos Aires: Katz.</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Narváez, E. y Cadena, S. (2008). Desafíos de la lectura y la escritura en educación superior: caminos posibles. Cali: Universidad Autónoma de Occidente.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Peña, L. B. (2007). Leer y escribir en la universidad. En Memorias del Encuentro Nacional sobre Políticas Institucionales para el Desarrollo de la Lectura y la Escritura en Educación Superior. Bogotá: Asociación Colombiana de Universidades, Universidad Sergio Arboleda, abril 26 y 27 de 2007.</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Peña, L. B. (2009). La competencia oral y escrita en la educación superior. Bogotá: Ministerio de Educación Nacional de Colombia. Comité Consultivo para la Definición de Estándares y Evaluación de Competencias Básicas en la Educación Superior.</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Perelman, Ch. (1997). El imperio retórico: Retórica y argumentación. Bogotá: Norma.</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Perelman, Ch. y Olbrechts-Tyteca, L. (1958). Tratado de la argumentación: la nueva retórica, 2ª Reimpresión, trad. J. Sevilla. Madrid: Gredos.</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Plantin, C. (2001). La argumentación, 2ª. ed. Trad. A. Tusón. Barcelona: Ariel.</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Solé, I. (2001). Estrategias de lectura. 12ª edición. Barcelona: Graó.</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Tolchinsky, L. (1998). Primeros pasos en la redacción de los textos expositivos. Textos, 17, 45-54. Barcelona: Graó.</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Toulmin, S. (2007). Los usos de la argumentación. Barcelona: Ediciones Península. (Original: 1958).</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Tusón, A. (1991). Las marcas de la oralidad en la escritura. Signos, teoría y práctica de la educación, número 3, p. 14-19. Consultado en junio 16 de 2017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http://www.quadernsdigitals.net/datos_web/hemeroteca/r_3/nr_33/a_550/550.html</w:t>
        </w:r>
      </w:hyperlink>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Uribe, G. (2006). Hablemos de la enseñanza / aprendizaje de estrategias de escritura. Cuadernos Interdisciplinarios Pedagógicos, 7, 123-132. Armenia: Universidad del Quindío.</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 Eemeren, F. y Grootendorst, R. (2002). Argumentación, comunicación y falacias. C. López y A. M. Vicuña (Trad.). Santiago de Chile: Universidad Católica de Chile.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Vásquez, F. (2008). Pregúntele al ensayista. Bogotá: Kimpres.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Wray, D. y Lewis M. (2000). Aprender a leer y escribir textos de información, trad. R. Fililla. Madrid: Morata.</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Weston, A. (1992). Las claves de la argumentación, trad. J. Malem. Barcelona: Ariel.</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Zambrano-Valencia, J., Medina, R. y Muñoz, B. (2008). “Estado de las prácticas de lectura y escritura en la Universidad del Quindío. Primera aproximación estadística e interpretativa”. Cuadernos Interdisciplinarios Pedagógicos (9): 21-26. Armenia: Universidad del Quindío.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Zambrano-Valencia, J., Medina, R. y Muñoz (2011). “Estado de las prácticas de lectura en la universidad colombiana. Una aproximación estadística”. Sophia, Universidad La Gran Colombia, (7): 39-47.</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Zambrano-Valencia, J., Medina, R. y Muñoz, B. (2015a). “Prácticas de lectura y escritura universitarias. Una mirada desde un grupo de discusión de docente”. Investigium IRE, Institución Universitaria CESMAG, VI (1): 45-58.</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Zambrano-Valencia, J. y Parra, E. (2017). “Inferir”. En Géneros discursivos y estrategias para redactar textos académicos en Secundaria (pp. 127-134). Madrid: Octaedro.</w:t>
      </w:r>
    </w:p>
    <w:p w:rsidR="00000000" w:rsidDel="00000000" w:rsidP="00000000" w:rsidRDefault="00000000" w:rsidRPr="00000000" w14:paraId="000000D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sectPr>
      <w:type w:val="nextPage"/>
      <w:pgSz w:h="15840" w:w="12240" w:orient="portrait"/>
      <w:pgMar w:bottom="1440" w:top="1440" w:left="1080" w:right="108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3"/>
      <w:tblW w:w="1069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6"/>
      <w:gridCol w:w="6937"/>
      <w:gridCol w:w="1343"/>
      <w:tblGridChange w:id="0">
        <w:tblGrid>
          <w:gridCol w:w="2416"/>
          <w:gridCol w:w="6937"/>
          <w:gridCol w:w="1343"/>
        </w:tblGrid>
      </w:tblGridChange>
    </w:tblGrid>
    <w:tr>
      <w:trPr>
        <w:cantSplit w:val="0"/>
        <w:trHeight w:val="332"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-33019</wp:posOffset>
                </wp:positionV>
                <wp:extent cx="470535" cy="570865"/>
                <wp:effectExtent b="0" l="0" r="0" t="0"/>
                <wp:wrapNone/>
                <wp:docPr descr="ESCUDO_ESCUELA_NORMAL_SUPERIOR_2010_A_COLOR" id="4"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-84454</wp:posOffset>
                </wp:positionV>
                <wp:extent cx="842645" cy="463550"/>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8">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D9">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50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D">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Enero 2021</w:t>
          </w:r>
        </w:p>
      </w:tc>
    </w:tr>
    <w:tr>
      <w:trPr>
        <w:cantSplit w:val="0"/>
        <w:trHeight w:val="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 CURRÍCULO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2</w:t>
          </w:r>
        </w:p>
      </w:tc>
    </w:tr>
  </w:tb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0" w:line="360" w:lineRule="auto"/>
      <w:jc w:val="both"/>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D77FCF"/>
    <w:pPr>
      <w:spacing w:after="200" w:line="276" w:lineRule="auto"/>
    </w:pPr>
    <w:rPr>
      <w:sz w:val="22"/>
      <w:szCs w:val="22"/>
      <w:lang w:eastAsia="en-US"/>
    </w:rPr>
  </w:style>
  <w:style w:type="paragraph" w:styleId="Ttulo2">
    <w:name w:val="heading 2"/>
    <w:basedOn w:val="Puesto"/>
    <w:next w:val="Normal"/>
    <w:link w:val="Ttulo2Car"/>
    <w:uiPriority w:val="9"/>
    <w:unhideWhenUsed w:val="1"/>
    <w:qFormat w:val="1"/>
    <w:rsid w:val="003C092B"/>
    <w:pPr>
      <w:pBdr>
        <w:top w:space="0" w:sz="0" w:val="nil"/>
        <w:left w:space="0" w:sz="0" w:val="nil"/>
        <w:bottom w:space="0" w:sz="0" w:val="nil"/>
        <w:right w:space="0" w:sz="0" w:val="nil"/>
        <w:between w:space="0" w:sz="0" w:val="nil"/>
      </w:pBdr>
      <w:spacing w:line="360" w:lineRule="auto"/>
      <w:jc w:val="both"/>
      <w:outlineLvl w:val="1"/>
    </w:pPr>
    <w:rPr>
      <w:rFonts w:ascii="Times New Roman" w:cs="Times New Roman" w:eastAsia="Arial" w:hAnsi="Times New Roman"/>
      <w:b w:val="1"/>
      <w:color w:val="000000"/>
      <w:spacing w:val="0"/>
      <w:kern w:val="0"/>
      <w:sz w:val="24"/>
      <w:szCs w:val="24"/>
      <w:lang w:eastAsia="es-CO"/>
    </w:rPr>
  </w:style>
  <w:style w:type="paragraph" w:styleId="Ttulo3">
    <w:name w:val="heading 3"/>
    <w:basedOn w:val="Normal"/>
    <w:next w:val="Normal"/>
    <w:link w:val="Ttulo3Car"/>
    <w:uiPriority w:val="9"/>
    <w:unhideWhenUsed w:val="1"/>
    <w:qFormat w:val="1"/>
    <w:rsid w:val="003C092B"/>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E2213"/>
    <w:pPr>
      <w:tabs>
        <w:tab w:val="center" w:pos="4419"/>
        <w:tab w:val="right" w:pos="8838"/>
      </w:tabs>
    </w:pPr>
  </w:style>
  <w:style w:type="character" w:styleId="EncabezadoCar" w:customStyle="1">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val="1"/>
    <w:rsid w:val="002E2213"/>
    <w:pPr>
      <w:tabs>
        <w:tab w:val="center" w:pos="4419"/>
        <w:tab w:val="right" w:pos="8838"/>
      </w:tabs>
    </w:pPr>
  </w:style>
  <w:style w:type="character" w:styleId="PiedepginaCar" w:customStyle="1">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val="1"/>
    <w:unhideWhenUsed w:val="1"/>
    <w:rsid w:val="002E221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E2213"/>
    <w:rPr>
      <w:rFonts w:ascii="Tahoma" w:cs="Tahoma" w:hAnsi="Tahoma"/>
      <w:sz w:val="16"/>
      <w:szCs w:val="16"/>
      <w:lang w:eastAsia="en-US"/>
    </w:rPr>
  </w:style>
  <w:style w:type="paragraph" w:styleId="Prrafodelista">
    <w:name w:val="List Paragraph"/>
    <w:basedOn w:val="Normal"/>
    <w:uiPriority w:val="34"/>
    <w:qFormat w:val="1"/>
    <w:rsid w:val="002E2213"/>
    <w:pPr>
      <w:ind w:left="720"/>
      <w:contextualSpacing w:val="1"/>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eastAsia="es-ES" w:val="es-ES"/>
    </w:rPr>
  </w:style>
  <w:style w:type="character" w:styleId="TextoindependienteCar" w:customStyle="1">
    <w:name w:val="Texto independiente Car"/>
    <w:basedOn w:val="Fuentedeprrafopredeter"/>
    <w:link w:val="Textoindependiente"/>
    <w:rsid w:val="002E2213"/>
    <w:rPr>
      <w:rFonts w:ascii="Times New Roman" w:eastAsia="Times New Roman" w:hAnsi="Times New Roman"/>
      <w:sz w:val="24"/>
      <w:szCs w:val="24"/>
      <w:lang w:eastAsia="es-ES" w:val="es-ES"/>
    </w:rPr>
  </w:style>
  <w:style w:type="paragraph" w:styleId="Textonotapie">
    <w:name w:val="footnote text"/>
    <w:basedOn w:val="Normal"/>
    <w:link w:val="TextonotapieCar"/>
    <w:uiPriority w:val="99"/>
    <w:semiHidden w:val="1"/>
    <w:unhideWhenUsed w:val="1"/>
    <w:rsid w:val="002E2213"/>
    <w:pPr>
      <w:spacing w:after="0" w:line="240" w:lineRule="auto"/>
    </w:pPr>
    <w:rPr>
      <w:rFonts w:eastAsia="Times New Roman"/>
      <w:sz w:val="20"/>
      <w:szCs w:val="20"/>
      <w:lang w:eastAsia="es-CO"/>
    </w:rPr>
  </w:style>
  <w:style w:type="character" w:styleId="TextonotapieCar" w:customStyle="1">
    <w:name w:val="Texto nota pie Car"/>
    <w:basedOn w:val="Fuentedeprrafopredeter"/>
    <w:link w:val="Textonotapie"/>
    <w:uiPriority w:val="99"/>
    <w:semiHidden w:val="1"/>
    <w:rsid w:val="002E2213"/>
    <w:rPr>
      <w:rFonts w:eastAsia="Times New Roman"/>
    </w:rPr>
  </w:style>
  <w:style w:type="character" w:styleId="Refdenotaalpie">
    <w:name w:val="footnote reference"/>
    <w:basedOn w:val="Fuentedeprrafopredeter"/>
    <w:semiHidden w:val="1"/>
    <w:unhideWhenUsed w:val="1"/>
    <w:rsid w:val="002E2213"/>
    <w:rPr>
      <w:vertAlign w:val="superscript"/>
    </w:rPr>
  </w:style>
  <w:style w:type="character" w:styleId="Hipervnculo">
    <w:name w:val="Hyperlink"/>
    <w:basedOn w:val="Fuentedeprrafopredeter"/>
    <w:uiPriority w:val="99"/>
    <w:unhideWhenUsed w:val="1"/>
    <w:rsid w:val="006D3ECF"/>
    <w:rPr>
      <w:color w:val="0000ff"/>
      <w:u w:val="single"/>
    </w:rPr>
  </w:style>
  <w:style w:type="paragraph" w:styleId="Sangradetextonormal">
    <w:name w:val="Body Text Indent"/>
    <w:basedOn w:val="Normal"/>
    <w:link w:val="SangradetextonormalCar"/>
    <w:uiPriority w:val="99"/>
    <w:semiHidden w:val="1"/>
    <w:unhideWhenUsed w:val="1"/>
    <w:rsid w:val="00023D82"/>
    <w:pPr>
      <w:spacing w:after="120"/>
      <w:ind w:left="283"/>
    </w:pPr>
  </w:style>
  <w:style w:type="character" w:styleId="SangradetextonormalCar" w:customStyle="1">
    <w:name w:val="Sangría de texto normal Car"/>
    <w:basedOn w:val="Fuentedeprrafopredeter"/>
    <w:link w:val="Sangradetextonormal"/>
    <w:uiPriority w:val="99"/>
    <w:semiHidden w:val="1"/>
    <w:rsid w:val="00023D82"/>
    <w:rPr>
      <w:sz w:val="22"/>
      <w:szCs w:val="22"/>
      <w:lang w:eastAsia="en-US"/>
    </w:rPr>
  </w:style>
  <w:style w:type="paragraph" w:styleId="inormalp" w:customStyle="1">
    <w:name w:val="inormalp"/>
    <w:basedOn w:val="Normal"/>
    <w:uiPriority w:val="99"/>
    <w:rsid w:val="00023D82"/>
    <w:pPr>
      <w:shd w:color="auto" w:fill="ffffff" w:val="clear"/>
      <w:spacing w:after="100" w:afterAutospacing="1" w:before="30" w:line="240" w:lineRule="auto"/>
      <w:jc w:val="both"/>
    </w:pPr>
    <w:rPr>
      <w:rFonts w:ascii="Verdana" w:eastAsia="Times New Roman" w:hAnsi="Verdana"/>
      <w:color w:val="000000"/>
      <w:sz w:val="16"/>
      <w:szCs w:val="16"/>
      <w:lang w:eastAsia="es-MX" w:val="es-MX"/>
    </w:rPr>
  </w:style>
  <w:style w:type="paragraph" w:styleId="Cuerpo" w:customStyle="1">
    <w:name w:val="Cuerpo"/>
    <w:rsid w:val="00023D82"/>
    <w:pPr>
      <w:pBdr>
        <w:top w:space="0" w:sz="0" w:val="nil"/>
        <w:left w:space="0" w:sz="0" w:val="nil"/>
        <w:bottom w:space="0" w:sz="0" w:val="nil"/>
        <w:right w:space="0" w:sz="0" w:val="nil"/>
        <w:between w:space="0" w:sz="0" w:val="nil"/>
        <w:bar w:space="0" w:sz="0" w:val="nil"/>
      </w:pBdr>
      <w:spacing w:after="200" w:line="276" w:lineRule="auto"/>
    </w:pPr>
    <w:rPr>
      <w:rFonts w:cs="Calibri"/>
      <w:color w:val="000000"/>
      <w:sz w:val="22"/>
      <w:szCs w:val="22"/>
      <w:u w:color="000000"/>
      <w:bdr w:space="0" w:sz="0" w:val="nil"/>
    </w:rPr>
  </w:style>
  <w:style w:type="table" w:styleId="TableNormal" w:customStyle="1">
    <w:name w:val="Table Normal"/>
    <w:rsid w:val="00023D82"/>
    <w:pPr>
      <w:pBdr>
        <w:top w:space="0" w:sz="0" w:val="nil"/>
        <w:left w:space="0" w:sz="0" w:val="nil"/>
        <w:bottom w:space="0" w:sz="0" w:val="nil"/>
        <w:right w:space="0" w:sz="0" w:val="nil"/>
        <w:between w:space="0" w:sz="0" w:val="nil"/>
        <w:bar w:space="0" w:sz="0" w:val="nil"/>
      </w:pBdr>
    </w:pPr>
    <w:rPr>
      <w:rFonts w:ascii="Times New Roman" w:eastAsia="Arial Unicode MS" w:hAnsi="Times New Roman"/>
      <w:bdr w:space="0" w:sz="0" w:val="nil"/>
    </w:rPr>
    <w:tblPr>
      <w:tblInd w:w="0.0" w:type="dxa"/>
      <w:tblCellMar>
        <w:top w:w="0.0" w:type="dxa"/>
        <w:left w:w="0.0" w:type="dxa"/>
        <w:bottom w:w="0.0" w:type="dxa"/>
        <w:right w:w="0.0" w:type="dxa"/>
      </w:tblCellMar>
    </w:tblPr>
  </w:style>
  <w:style w:type="character" w:styleId="Ninguno" w:customStyle="1">
    <w:name w:val="Ninguno"/>
    <w:rsid w:val="00023D82"/>
  </w:style>
  <w:style w:type="paragraph" w:styleId="NormalWeb">
    <w:name w:val="Normal (Web)"/>
    <w:basedOn w:val="Normal"/>
    <w:unhideWhenUsed w:val="1"/>
    <w:rsid w:val="00023D82"/>
    <w:pPr>
      <w:spacing w:after="100" w:afterAutospacing="1" w:before="100" w:beforeAutospacing="1" w:line="240" w:lineRule="auto"/>
    </w:pPr>
    <w:rPr>
      <w:rFonts w:ascii="Times New Roman" w:eastAsia="Times New Roman" w:hAnsi="Times New Roman"/>
      <w:sz w:val="24"/>
      <w:szCs w:val="24"/>
      <w:lang w:eastAsia="es-CO"/>
    </w:rPr>
  </w:style>
  <w:style w:type="paragraph" w:styleId="Prrafodelista1" w:customStyle="1">
    <w:name w:val="Párrafo de lista1"/>
    <w:basedOn w:val="Normal"/>
    <w:rsid w:val="00EC5A6E"/>
    <w:pPr>
      <w:ind w:left="720"/>
      <w:contextualSpacing w:val="1"/>
    </w:pPr>
    <w:rPr>
      <w:rFonts w:eastAsia="Times New Roman"/>
    </w:rPr>
  </w:style>
  <w:style w:type="paragraph" w:styleId="Bibliografa">
    <w:name w:val="Bibliography"/>
    <w:basedOn w:val="Normal"/>
    <w:next w:val="Normal"/>
    <w:uiPriority w:val="37"/>
    <w:unhideWhenUsed w:val="1"/>
    <w:rsid w:val="00172A26"/>
  </w:style>
  <w:style w:type="character" w:styleId="Ttulo2Car" w:customStyle="1">
    <w:name w:val="Título 2 Car"/>
    <w:basedOn w:val="Fuentedeprrafopredeter"/>
    <w:link w:val="Ttulo2"/>
    <w:uiPriority w:val="9"/>
    <w:rsid w:val="003C092B"/>
    <w:rPr>
      <w:rFonts w:ascii="Times New Roman" w:eastAsia="Arial" w:hAnsi="Times New Roman"/>
      <w:b w:val="1"/>
      <w:color w:val="000000"/>
      <w:sz w:val="24"/>
      <w:szCs w:val="24"/>
    </w:rPr>
  </w:style>
  <w:style w:type="character" w:styleId="Ttulo3Car" w:customStyle="1">
    <w:name w:val="Título 3 Car"/>
    <w:basedOn w:val="Fuentedeprrafopredeter"/>
    <w:link w:val="Ttulo3"/>
    <w:uiPriority w:val="9"/>
    <w:rsid w:val="003C092B"/>
    <w:rPr>
      <w:rFonts w:asciiTheme="majorHAnsi" w:cstheme="majorBidi" w:eastAsiaTheme="majorEastAsia" w:hAnsiTheme="majorHAnsi"/>
      <w:color w:val="243f60" w:themeColor="accent1" w:themeShade="00007F"/>
      <w:sz w:val="24"/>
      <w:szCs w:val="24"/>
      <w:lang w:eastAsia="en-US"/>
    </w:rPr>
  </w:style>
  <w:style w:type="table" w:styleId="Tablaconcuadrcula">
    <w:name w:val="Table Grid"/>
    <w:basedOn w:val="Tablanormal"/>
    <w:uiPriority w:val="39"/>
    <w:rsid w:val="003C092B"/>
    <w:pPr>
      <w:pBdr>
        <w:top w:space="0" w:sz="0" w:val="nil"/>
        <w:left w:space="0" w:sz="0" w:val="nil"/>
        <w:bottom w:space="0" w:sz="0" w:val="nil"/>
        <w:right w:space="0" w:sz="0" w:val="nil"/>
        <w:between w:space="0" w:sz="0" w:val="nil"/>
      </w:pBdr>
    </w:pPr>
    <w:rPr>
      <w:rFonts w:cs="Calibri"/>
      <w:color w:val="000000"/>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octablas" w:customStyle="1">
    <w:name w:val="Doctablas"/>
    <w:basedOn w:val="Normal"/>
    <w:link w:val="DoctablasCar"/>
    <w:qFormat w:val="1"/>
    <w:rsid w:val="003C092B"/>
    <w:pPr>
      <w:spacing w:line="360" w:lineRule="auto"/>
      <w:contextualSpacing w:val="1"/>
    </w:pPr>
    <w:rPr>
      <w:rFonts w:ascii="Times New Roman" w:eastAsia="Arial" w:hAnsi="Times New Roman"/>
      <w:color w:val="000000"/>
      <w:sz w:val="18"/>
      <w:szCs w:val="24"/>
      <w:lang w:eastAsia="es-CO"/>
    </w:rPr>
  </w:style>
  <w:style w:type="character" w:styleId="DoctablasCar" w:customStyle="1">
    <w:name w:val="Doctablas Car"/>
    <w:basedOn w:val="Fuentedeprrafopredeter"/>
    <w:link w:val="Doctablas"/>
    <w:rsid w:val="003C092B"/>
    <w:rPr>
      <w:rFonts w:ascii="Times New Roman" w:eastAsia="Arial" w:hAnsi="Times New Roman"/>
      <w:color w:val="000000"/>
      <w:sz w:val="18"/>
      <w:szCs w:val="24"/>
    </w:rPr>
  </w:style>
  <w:style w:type="paragraph" w:styleId="Puesto">
    <w:name w:val="Title"/>
    <w:basedOn w:val="Normal"/>
    <w:next w:val="Normal"/>
    <w:link w:val="PuestoCar"/>
    <w:uiPriority w:val="10"/>
    <w:qFormat w:val="1"/>
    <w:rsid w:val="003C092B"/>
    <w:pPr>
      <w:spacing w:after="0" w:line="240" w:lineRule="auto"/>
      <w:contextualSpacing w:val="1"/>
    </w:pPr>
    <w:rPr>
      <w:rFonts w:asciiTheme="majorHAnsi" w:cstheme="majorBidi" w:eastAsiaTheme="majorEastAsia" w:hAnsiTheme="majorHAnsi"/>
      <w:spacing w:val="-10"/>
      <w:kern w:val="28"/>
      <w:sz w:val="56"/>
      <w:szCs w:val="56"/>
    </w:rPr>
  </w:style>
  <w:style w:type="character" w:styleId="PuestoCar" w:customStyle="1">
    <w:name w:val="Puesto Car"/>
    <w:basedOn w:val="Fuentedeprrafopredeter"/>
    <w:link w:val="Puesto"/>
    <w:uiPriority w:val="10"/>
    <w:rsid w:val="003C092B"/>
    <w:rPr>
      <w:rFonts w:asciiTheme="majorHAnsi" w:cstheme="majorBidi" w:eastAsiaTheme="majorEastAsia" w:hAnsiTheme="majorHAnsi"/>
      <w:spacing w:val="-10"/>
      <w:kern w:val="28"/>
      <w:sz w:val="56"/>
      <w:szCs w:val="56"/>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http://www.quadernsdigitals.net/datos_web/hemeroteca/r_3/nr_33/a_550/55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AAjODR7TPExAsN0gMj5mHR0u5g==">AMUW2mVkGuGEcnN2wIMwPk7FuNa20MQH7aOxk0kZpqZKYKXYlD2M/+MWaHDD2JZy4GHZJlQt8jwhuDhU7370c1v7IzekhchTeB+0V8cSeXkN9T2fjI9uAjbhJfMatyomsRDO/E7V+UsYOwMjjFaSzhEljSIqV/5Czhc/KHBVYRdVf+HXqT25RkmOfUR0mDLb9AlKukf6dVNLsb9ZWGDLjiTZeXke7iL14WgaPBv4i19Ph5Oa3tkNSKwXSeDQtxWE3QnMzGselPHB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2020-12-03T17:32:00Z</dcterms:created>
  <dc:creator>Paula y César</dc:creator>
</cp:coreProperties>
</file>