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ind w:left="360" w:hanging="360"/>
        <w:rPr/>
      </w:pPr>
      <w:bookmarkStart w:colFirst="0" w:colLast="0" w:name="_heading=h.gjdgxs" w:id="0"/>
      <w:bookmarkEnd w:id="0"/>
      <w:r w:rsidDel="00000000" w:rsidR="00000000" w:rsidRPr="00000000">
        <w:rPr>
          <w:rtl w:val="0"/>
        </w:rPr>
        <w:t xml:space="preserve">IDENTIFICACIÓN</w:t>
      </w:r>
    </w:p>
    <w:tbl>
      <w:tblPr>
        <w:tblStyle w:val="Table1"/>
        <w:tblW w:w="10167.0" w:type="dxa"/>
        <w:jc w:val="left"/>
        <w:tblInd w:w="0.0" w:type="dxa"/>
        <w:tblLayout w:type="fixed"/>
        <w:tblLook w:val="0400"/>
      </w:tblPr>
      <w:tblGrid>
        <w:gridCol w:w="3083"/>
        <w:gridCol w:w="7084"/>
        <w:tblGridChange w:id="0">
          <w:tblGrid>
            <w:gridCol w:w="3083"/>
            <w:gridCol w:w="708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6d7a8" w:val="clear"/>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Generalidades</w:t>
            </w: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Espacio académico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EDUCACIÓN FINANCIERA Y PENSAMIENTO COMPUTACIONAL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Horas semanales: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Total de horas por semestre: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48 horas por semestre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Prerrequisito: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Créditos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Horas de docencia directa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Horas de trabajo independiente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Habilitable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SI</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numPr>
          <w:ilvl w:val="0"/>
          <w:numId w:val="2"/>
        </w:numPr>
        <w:ind w:left="360" w:hanging="360"/>
        <w:rPr/>
      </w:pPr>
      <w:bookmarkStart w:colFirst="0" w:colLast="0" w:name="_heading=h.30j0zll" w:id="1"/>
      <w:bookmarkEnd w:id="1"/>
      <w:r w:rsidDel="00000000" w:rsidR="00000000" w:rsidRPr="00000000">
        <w:rPr>
          <w:rtl w:val="0"/>
        </w:rPr>
        <w:t xml:space="preserve">DESCRIPCIÓN:</w:t>
      </w:r>
    </w:p>
    <w:p w:rsidR="00000000" w:rsidDel="00000000" w:rsidP="00000000" w:rsidRDefault="00000000" w:rsidRPr="00000000" w14:paraId="00000018">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crédito de estrategias para la enseñanza de la </w:t>
      </w:r>
      <w:r w:rsidDel="00000000" w:rsidR="00000000" w:rsidRPr="00000000">
        <w:rPr>
          <w:rtl w:val="0"/>
        </w:rPr>
        <w:t xml:space="preserve">educación financiera y pensamiento computacional</w:t>
      </w:r>
      <w:r w:rsidDel="00000000" w:rsidR="00000000" w:rsidRPr="00000000">
        <w:rPr>
          <w:rFonts w:ascii="Times New Roman" w:cs="Times New Roman" w:eastAsia="Times New Roman" w:hAnsi="Times New Roman"/>
          <w:sz w:val="24"/>
          <w:szCs w:val="24"/>
          <w:rtl w:val="0"/>
        </w:rPr>
        <w:t xml:space="preserve"> se propone como herramienta para fortalecer el aprendizaje de conceptos financieros, establecer estrategias pedagógicas financieras e implementarlas en la práctica de los maestros en formación, aportando de esta manera al mejoramiento de las mismas.</w:t>
      </w:r>
    </w:p>
    <w:p w:rsidR="00000000" w:rsidDel="00000000" w:rsidP="00000000" w:rsidRDefault="00000000" w:rsidRPr="00000000" w14:paraId="00000019">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Normalista Superior debe comprender que la educación financiera es una herramienta que fortalece la adquisición de hábitos que permiten administrar nuestro patrimonio a corto, mediano y largo plazo y, por lo tanto, una preparación inapropiada en este ámbito puede llevar a la toma de decisiones que afecten nuestra vida de una manera trascendental. Dado esto, es de vital importancia abordar de una manera crítica la enseñanza de la educación financiera en la población desde los primeros años de escolaridad.</w:t>
      </w:r>
    </w:p>
    <w:p w:rsidR="00000000" w:rsidDel="00000000" w:rsidP="00000000" w:rsidRDefault="00000000" w:rsidRPr="00000000" w14:paraId="0000001A">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como, desde este crédito se busca que los maestros en formación se apropien de conceptos relacionados con la educación financiera y promuevan la importancia de esta en el ámbito social a través de prácticas pedagógicas que conlleven a generar interés y participación activa de los estudiantes en el desarrollo de sus clases.</w:t>
      </w:r>
    </w:p>
    <w:p w:rsidR="00000000" w:rsidDel="00000000" w:rsidP="00000000" w:rsidRDefault="00000000" w:rsidRPr="00000000" w14:paraId="0000001B">
      <w:pPr>
        <w:pStyle w:val="Heading1"/>
        <w:numPr>
          <w:ilvl w:val="0"/>
          <w:numId w:val="2"/>
        </w:numPr>
        <w:ind w:left="360" w:hanging="360"/>
        <w:rPr/>
      </w:pPr>
      <w:r w:rsidDel="00000000" w:rsidR="00000000" w:rsidRPr="00000000">
        <w:rPr>
          <w:rtl w:val="0"/>
        </w:rPr>
        <w:t xml:space="preserve">JUSTIFICACIÓN: </w:t>
      </w:r>
    </w:p>
    <w:p w:rsidR="00000000" w:rsidDel="00000000" w:rsidP="00000000" w:rsidRDefault="00000000" w:rsidRPr="00000000" w14:paraId="0000001C">
      <w:pPr>
        <w:jc w:val="both"/>
        <w:rPr>
          <w:rFonts w:ascii="Times New Roman" w:cs="Times New Roman" w:eastAsia="Times New Roman" w:hAnsi="Times New Roman"/>
          <w:sz w:val="28"/>
          <w:szCs w:val="28"/>
        </w:rPr>
      </w:pPr>
      <w:bookmarkStart w:colFirst="0" w:colLast="0" w:name="_heading=h.m3w9u7tcf9n2" w:id="2"/>
      <w:bookmarkEnd w:id="2"/>
      <w:r w:rsidDel="00000000" w:rsidR="00000000" w:rsidRPr="00000000">
        <w:rPr>
          <w:rFonts w:ascii="Times New Roman" w:cs="Times New Roman" w:eastAsia="Times New Roman" w:hAnsi="Times New Roman"/>
          <w:sz w:val="24"/>
          <w:szCs w:val="24"/>
          <w:rtl w:val="0"/>
        </w:rPr>
        <w:t xml:space="preserve">Teniendo en cuenta que el éxito financiero de las familias está ligado con la planificación de gastos, ingresos y el conocimiento de conceptos relacionados con las finanzas, el Ministerio de Educación Nacional se vio en la necesidad de crear una estrategia para brindar educación financiera en las instituciones públicas y privadas del país, el Decreto  457 del 2014, esto con el fin de formar ciudadanos capaces de dar uso adecuado de sus recursos y tomar decisiones acertadas en cuanto a recursos económicos se refiere.</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el MEN, elaboró, junto con otras entidades financieras públicas y privadas, el documento n° 26, “Mi plan, mi vida, mi futuro”, el cual presenta una serie de planteamientos a los docentes para promover la educación financiera en las instituciones educativas.</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como, este crédito se relaciona directamente con la práctica pedagógica y los procesos investigativos, ya que conlleva a su fortalecimiento a través de la apropiación de términos financieros y la elaboración de secuencias didácticas que inviten a sus estudiantes a profundizar en los conceptos presentados en el desarrollo de sus clases.</w:t>
      </w:r>
    </w:p>
    <w:p w:rsidR="00000000" w:rsidDel="00000000" w:rsidP="00000000" w:rsidRDefault="00000000" w:rsidRPr="00000000" w14:paraId="0000001F">
      <w:pPr>
        <w:pStyle w:val="Heading1"/>
        <w:numPr>
          <w:ilvl w:val="0"/>
          <w:numId w:val="2"/>
        </w:numPr>
        <w:ind w:left="360" w:hanging="360"/>
        <w:rPr/>
      </w:pPr>
      <w:r w:rsidDel="00000000" w:rsidR="00000000" w:rsidRPr="00000000">
        <w:rPr>
          <w:rtl w:val="0"/>
        </w:rPr>
        <w:t xml:space="preserve">RESULTADO DE APRENDIZAJE </w:t>
      </w:r>
    </w:p>
    <w:p w:rsidR="00000000" w:rsidDel="00000000" w:rsidP="00000000" w:rsidRDefault="00000000" w:rsidRPr="00000000" w14:paraId="00000020">
      <w:pPr>
        <w:pStyle w:val="Title"/>
        <w:spacing w:after="200" w:lineRule="auto"/>
        <w:ind w:left="0"/>
        <w:rPr/>
      </w:pPr>
      <w:bookmarkStart w:colFirst="0" w:colLast="0" w:name="_heading=h.171u5sniqje1" w:id="3"/>
      <w:bookmarkEnd w:id="3"/>
      <w:r w:rsidDel="00000000" w:rsidR="00000000" w:rsidRPr="00000000">
        <w:rPr>
          <w:b w:val="0"/>
          <w:rtl w:val="0"/>
        </w:rPr>
        <w:t xml:space="preserve">El maestro en formación estará en capacidad de actuar de manera adecuada a la hora de enfrentarse a situaciones cotidianas en las cuales sea necesario utilizar herramientas financieras que le ayuden en la toma de decisiones que puedan afectar aspectos de índole personal, familiar o incluso institucional. También, a través de la formación brindada en este espacio académico, los maestros en formación potenciarán sus habilidades en el uso de herramientas de tipo virtual, las cuales servirán de apoyo en su práctica pedagógica a la hora de aplicar nuevas estrategias de enseñanza relacionadas con la educación financiera</w:t>
      </w:r>
      <w:r w:rsidDel="00000000" w:rsidR="00000000" w:rsidRPr="00000000">
        <w:rPr>
          <w:rtl w:val="0"/>
        </w:rPr>
      </w:r>
    </w:p>
    <w:p w:rsidR="00000000" w:rsidDel="00000000" w:rsidP="00000000" w:rsidRDefault="00000000" w:rsidRPr="00000000" w14:paraId="00000021">
      <w:pPr>
        <w:pStyle w:val="Title"/>
        <w:numPr>
          <w:ilvl w:val="0"/>
          <w:numId w:val="2"/>
        </w:numPr>
        <w:ind w:left="360" w:hanging="360"/>
        <w:rPr/>
      </w:pPr>
      <w:bookmarkStart w:colFirst="0" w:colLast="0" w:name="_heading=h.17dp8vu" w:id="4"/>
      <w:bookmarkEnd w:id="4"/>
      <w:r w:rsidDel="00000000" w:rsidR="00000000" w:rsidRPr="00000000">
        <w:rPr>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559"/>
        <w:gridCol w:w="1843"/>
        <w:gridCol w:w="1985"/>
        <w:gridCol w:w="1559"/>
        <w:gridCol w:w="2006"/>
        <w:tblGridChange w:id="0">
          <w:tblGrid>
            <w:gridCol w:w="1838"/>
            <w:gridCol w:w="1559"/>
            <w:gridCol w:w="1843"/>
            <w:gridCol w:w="1985"/>
            <w:gridCol w:w="1559"/>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2">
            <w:pPr>
              <w:pStyle w:val="Heading2"/>
              <w:jc w:val="center"/>
              <w:rPr/>
            </w:pPr>
            <w:bookmarkStart w:colFirst="0" w:colLast="0" w:name="_heading=h.3rdcrjn" w:id="5"/>
            <w:bookmarkEnd w:id="5"/>
            <w:r w:rsidDel="00000000" w:rsidR="00000000" w:rsidRPr="00000000">
              <w:rPr>
                <w:rtl w:val="0"/>
              </w:rPr>
              <w:t xml:space="preserve">BÁSICAS:</w:t>
            </w:r>
          </w:p>
        </w:tc>
      </w:tr>
      <w:tr>
        <w:trPr>
          <w:cantSplit w:val="0"/>
          <w:tblHeader w:val="0"/>
        </w:trPr>
        <w:tc>
          <w:tcPr>
            <w:gridSpan w:val="6"/>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DINERO Y TRANSACCIONES</w:t>
            </w:r>
          </w:p>
        </w:tc>
      </w:tr>
      <w:tr>
        <w:trPr>
          <w:cantSplit w:val="0"/>
          <w:tblHeader w:val="0"/>
        </w:trPr>
        <w:tc>
          <w:tcPr>
            <w:gridSpan w:val="6"/>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PLANIFICACIÓN Y GESTIÓN DE FINANZAS</w:t>
            </w:r>
          </w:p>
        </w:tc>
      </w:tr>
      <w:tr>
        <w:trPr>
          <w:cantSplit w:val="0"/>
          <w:tblHeader w:val="0"/>
        </w:trPr>
        <w:tc>
          <w:tcPr>
            <w:gridSpan w:val="6"/>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RIESGO Y RETRIBUCIÓN</w:t>
            </w:r>
          </w:p>
        </w:tc>
      </w:tr>
      <w:tr>
        <w:trPr>
          <w:cantSplit w:val="0"/>
          <w:tblHeader w:val="0"/>
        </w:trPr>
        <w:tc>
          <w:tcPr>
            <w:gridSpan w:val="6"/>
            <w:shd w:fill="ffc000" w:val="clear"/>
            <w:vAlign w:val="center"/>
          </w:tcPr>
          <w:p w:rsidR="00000000" w:rsidDel="00000000" w:rsidP="00000000" w:rsidRDefault="00000000" w:rsidRPr="00000000" w14:paraId="0000003A">
            <w:pPr>
              <w:pStyle w:val="Heading2"/>
              <w:jc w:val="center"/>
              <w:rPr/>
            </w:pPr>
            <w:bookmarkStart w:colFirst="0" w:colLast="0" w:name="_heading=h.26in1rg" w:id="6"/>
            <w:bookmarkEnd w:id="6"/>
            <w:r w:rsidDel="00000000" w:rsidR="00000000" w:rsidRPr="00000000">
              <w:rPr>
                <w:rtl w:val="0"/>
              </w:rPr>
              <w:t xml:space="preserve">ESPECÍFICAS:</w:t>
            </w:r>
          </w:p>
        </w:tc>
      </w:tr>
      <w:tr>
        <w:trPr>
          <w:cantSplit w:val="0"/>
          <w:tblHeader w:val="0"/>
        </w:trPr>
        <w:tc>
          <w:tcPr>
            <w:vAlign w:val="center"/>
          </w:tcPr>
          <w:p w:rsidR="00000000" w:rsidDel="00000000" w:rsidP="00000000" w:rsidRDefault="00000000" w:rsidRPr="00000000" w14:paraId="00000040">
            <w:pPr>
              <w:pStyle w:val="Heading3"/>
              <w:spacing w:line="240" w:lineRule="auto"/>
              <w:rPr/>
            </w:pPr>
            <w:bookmarkStart w:colFirst="0" w:colLast="0" w:name="_heading=h.lnxbz9" w:id="7"/>
            <w:bookmarkEnd w:id="7"/>
            <w:r w:rsidDel="00000000" w:rsidR="00000000" w:rsidRPr="00000000">
              <w:rPr>
                <w:rtl w:val="0"/>
              </w:rPr>
              <w:t xml:space="preserve">Competencias específicas</w:t>
            </w:r>
          </w:p>
        </w:tc>
        <w:tc>
          <w:tcPr>
            <w:vAlign w:val="center"/>
          </w:tcPr>
          <w:p w:rsidR="00000000" w:rsidDel="00000000" w:rsidP="00000000" w:rsidRDefault="00000000" w:rsidRPr="00000000" w14:paraId="00000041">
            <w:pPr>
              <w:pStyle w:val="Heading3"/>
              <w:spacing w:line="240" w:lineRule="auto"/>
              <w:rPr/>
            </w:pPr>
            <w:bookmarkStart w:colFirst="0" w:colLast="0" w:name="_heading=h.35nkun2" w:id="8"/>
            <w:bookmarkEnd w:id="8"/>
            <w:r w:rsidDel="00000000" w:rsidR="00000000" w:rsidRPr="00000000">
              <w:rPr>
                <w:rtl w:val="0"/>
              </w:rPr>
              <w:t xml:space="preserve">Ejes problémicos</w:t>
            </w:r>
          </w:p>
        </w:tc>
        <w:tc>
          <w:tcPr>
            <w:vAlign w:val="center"/>
          </w:tcPr>
          <w:p w:rsidR="00000000" w:rsidDel="00000000" w:rsidP="00000000" w:rsidRDefault="00000000" w:rsidRPr="00000000" w14:paraId="00000042">
            <w:pPr>
              <w:pStyle w:val="Heading3"/>
              <w:spacing w:line="240" w:lineRule="auto"/>
              <w:rPr/>
            </w:pPr>
            <w:bookmarkStart w:colFirst="0" w:colLast="0" w:name="_heading=h.1ksv4uv" w:id="9"/>
            <w:bookmarkEnd w:id="9"/>
            <w:r w:rsidDel="00000000" w:rsidR="00000000" w:rsidRPr="00000000">
              <w:rPr>
                <w:rtl w:val="0"/>
              </w:rPr>
              <w:t xml:space="preserve">Contenidos conceptuales</w:t>
            </w:r>
          </w:p>
        </w:tc>
        <w:tc>
          <w:tcPr>
            <w:vAlign w:val="center"/>
          </w:tcPr>
          <w:p w:rsidR="00000000" w:rsidDel="00000000" w:rsidP="00000000" w:rsidRDefault="00000000" w:rsidRPr="00000000" w14:paraId="00000043">
            <w:pPr>
              <w:pStyle w:val="Heading3"/>
              <w:spacing w:line="240" w:lineRule="auto"/>
              <w:rPr/>
            </w:pPr>
            <w:bookmarkStart w:colFirst="0" w:colLast="0" w:name="_heading=h.44sinio" w:id="10"/>
            <w:bookmarkEnd w:id="10"/>
            <w:r w:rsidDel="00000000" w:rsidR="00000000" w:rsidRPr="00000000">
              <w:rPr>
                <w:rtl w:val="0"/>
              </w:rPr>
              <w:t xml:space="preserve">Contenidos procedimentales</w:t>
            </w:r>
          </w:p>
        </w:tc>
        <w:tc>
          <w:tcPr>
            <w:vAlign w:val="center"/>
          </w:tcPr>
          <w:p w:rsidR="00000000" w:rsidDel="00000000" w:rsidP="00000000" w:rsidRDefault="00000000" w:rsidRPr="00000000" w14:paraId="00000044">
            <w:pPr>
              <w:pStyle w:val="Heading3"/>
              <w:spacing w:line="240" w:lineRule="auto"/>
              <w:rPr/>
            </w:pPr>
            <w:bookmarkStart w:colFirst="0" w:colLast="0" w:name="_heading=h.2jxsxqh" w:id="11"/>
            <w:bookmarkEnd w:id="11"/>
            <w:r w:rsidDel="00000000" w:rsidR="00000000" w:rsidRPr="00000000">
              <w:rPr>
                <w:rtl w:val="0"/>
              </w:rPr>
              <w:t xml:space="preserve">Contenidos actitudinales</w:t>
            </w:r>
          </w:p>
        </w:tc>
        <w:tc>
          <w:tcPr>
            <w:vAlign w:val="center"/>
          </w:tcPr>
          <w:p w:rsidR="00000000" w:rsidDel="00000000" w:rsidP="00000000" w:rsidRDefault="00000000" w:rsidRPr="00000000" w14:paraId="00000045">
            <w:pPr>
              <w:pStyle w:val="Heading3"/>
              <w:spacing w:line="240" w:lineRule="auto"/>
              <w:rPr/>
            </w:pPr>
            <w:bookmarkStart w:colFirst="0" w:colLast="0" w:name="_heading=h.z337ya" w:id="12"/>
            <w:bookmarkEnd w:id="12"/>
            <w:r w:rsidDel="00000000" w:rsidR="00000000" w:rsidRPr="00000000">
              <w:rPr>
                <w:rtl w:val="0"/>
              </w:rPr>
              <w:t xml:space="preserve">Indicadores de competencia</w:t>
            </w:r>
          </w:p>
        </w:tc>
      </w:tr>
      <w:tr>
        <w:trPr>
          <w:cantSplit w:val="0"/>
          <w:tblHeader w:val="0"/>
        </w:trPr>
        <w:tc>
          <w:tcPr>
            <w:vAlign w:val="cente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Conocimiento y capacidad para controlarla renta y los gastos.</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Conocimiento y capacidad para hacer uso de la renta y otros recursos disponibles en el corto y largo plazo para mejorar el bienestar financiero</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¿Puede el desconocimiento de conceptos financieros afectar el nivel socio económico de una persona y de un país?</w:t>
            </w:r>
          </w:p>
        </w:tc>
        <w:tc>
          <w:tcPr>
            <w:vAlign w:val="cente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Educación financiera, conceptualización, reglamentación y generalidades.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Economía personal y familiar.</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Estrategias para la enseñanza de la Educación Financiera.</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Análisis de documentos sobre la situación de la educación financiera en el país.</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Proyecciones relacionadas con estrategias pedagógicas relacionadas con la enseñanza de la educación financiera</w:t>
            </w:r>
          </w:p>
        </w:tc>
        <w:tc>
          <w:tcPr>
            <w:vAlign w:val="cente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activa en la socialización de pre saberes, saberes y conclusiones relacionados con los documentos, videos y aportes desarrollados en clase</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 la educación financiera como pilar del desarrollo económico de la sociedad.</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 la importancia del dinero, su finalidad y sus formas de intercambio.</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 y diferencia las modalidades de adquisición de bienes y determina las ventajas o desventajas  que acarrea la elección de dicha modalidad.</w:t>
            </w:r>
          </w:p>
        </w:tc>
      </w:tr>
      <w:tr>
        <w:trPr>
          <w:cantSplit w:val="0"/>
          <w:tblHeader w:val="0"/>
        </w:trPr>
        <w:tc>
          <w:tcPr>
            <w:gridSpan w:val="6"/>
            <w:shd w:fill="ffc000" w:val="clear"/>
            <w:vAlign w:val="center"/>
          </w:tcPr>
          <w:p w:rsidR="00000000" w:rsidDel="00000000" w:rsidP="00000000" w:rsidRDefault="00000000" w:rsidRPr="00000000" w14:paraId="00000060">
            <w:pPr>
              <w:pStyle w:val="Heading2"/>
              <w:jc w:val="center"/>
              <w:rPr/>
            </w:pPr>
            <w:bookmarkStart w:colFirst="0" w:colLast="0" w:name="_heading=h.3j2qqm3" w:id="13"/>
            <w:bookmarkEnd w:id="13"/>
            <w:r w:rsidDel="00000000" w:rsidR="00000000" w:rsidRPr="00000000">
              <w:rPr>
                <w:rtl w:val="0"/>
              </w:rPr>
              <w:t xml:space="preserve">GENÉRICAS:</w:t>
            </w:r>
          </w:p>
        </w:tc>
      </w:tr>
      <w:tr>
        <w:trPr>
          <w:cantSplit w:val="0"/>
          <w:tblHeader w:val="0"/>
        </w:trPr>
        <w:tc>
          <w:tcPr>
            <w:gridSpan w:val="2"/>
            <w:vAlign w:val="center"/>
          </w:tcPr>
          <w:p w:rsidR="00000000" w:rsidDel="00000000" w:rsidP="00000000" w:rsidRDefault="00000000" w:rsidRPr="00000000" w14:paraId="00000066">
            <w:pPr>
              <w:spacing w:line="36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 genérica:</w:t>
            </w:r>
          </w:p>
        </w:tc>
        <w:tc>
          <w:tcPr>
            <w:gridSpan w:val="2"/>
            <w:vAlign w:val="cente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Indicador de competencia:</w:t>
            </w:r>
          </w:p>
        </w:tc>
      </w:tr>
      <w:tr>
        <w:trPr>
          <w:cantSplit w:val="0"/>
          <w:tblHeader w:val="0"/>
        </w:trPr>
        <w:tc>
          <w:tcPr>
            <w:gridSpan w:val="2"/>
            <w:vAlign w:val="center"/>
          </w:tcPr>
          <w:p w:rsidR="00000000" w:rsidDel="00000000" w:rsidP="00000000" w:rsidRDefault="00000000" w:rsidRPr="00000000" w14:paraId="0000006C">
            <w:pPr>
              <w:pStyle w:val="Heading3"/>
              <w:rPr/>
            </w:pPr>
            <w:bookmarkStart w:colFirst="0" w:colLast="0" w:name="_heading=h.1y810tw" w:id="14"/>
            <w:bookmarkEnd w:id="14"/>
            <w:r w:rsidDel="00000000" w:rsidR="00000000" w:rsidRPr="00000000">
              <w:rPr>
                <w:rtl w:val="0"/>
              </w:rPr>
              <w:t xml:space="preserve">COMUNICACIÓN ESCRITA:</w:t>
            </w:r>
          </w:p>
        </w:tc>
        <w:tc>
          <w:tcPr>
            <w:gridSpan w:val="2"/>
            <w:vAlign w:val="cente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Justifica de manera escrita por qué la enseñanza de la educación financiera es esencial para la economía de un país. </w:t>
            </w:r>
          </w:p>
        </w:tc>
        <w:tc>
          <w:tcPr>
            <w:gridSpan w:val="2"/>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 textos científicos relacionados con conceptos económicos y elabora informes escritos sobre los mismos</w:t>
            </w:r>
          </w:p>
        </w:tc>
      </w:tr>
      <w:tr>
        <w:trPr>
          <w:cantSplit w:val="0"/>
          <w:tblHeader w:val="0"/>
        </w:trPr>
        <w:tc>
          <w:tcPr>
            <w:gridSpan w:val="2"/>
            <w:vAlign w:val="center"/>
          </w:tcPr>
          <w:p w:rsidR="00000000" w:rsidDel="00000000" w:rsidP="00000000" w:rsidRDefault="00000000" w:rsidRPr="00000000" w14:paraId="00000072">
            <w:pPr>
              <w:pStyle w:val="Heading3"/>
              <w:rPr/>
            </w:pPr>
            <w:bookmarkStart w:colFirst="0" w:colLast="0" w:name="_heading=h.4i7ojhp" w:id="15"/>
            <w:bookmarkEnd w:id="15"/>
            <w:r w:rsidDel="00000000" w:rsidR="00000000" w:rsidRPr="00000000">
              <w:rPr>
                <w:rtl w:val="0"/>
              </w:rPr>
              <w:t xml:space="preserve">LECTURA CRÍTICA:</w:t>
            </w:r>
          </w:p>
        </w:tc>
        <w:tc>
          <w:tcPr>
            <w:gridSpan w:val="2"/>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de manera crítica documentos científicos, toma posturas sobre los mismos y realiza su correspondiente socialización.</w:t>
            </w:r>
          </w:p>
        </w:tc>
        <w:tc>
          <w:tcPr>
            <w:gridSpan w:val="2"/>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Reflexiona la información presentada en diferentes tipos de textos, evalúa su contenido y expresa su punto de vista acerca del mismo</w:t>
            </w:r>
          </w:p>
        </w:tc>
      </w:tr>
      <w:tr>
        <w:trPr>
          <w:cantSplit w:val="0"/>
          <w:tblHeader w:val="0"/>
        </w:trPr>
        <w:tc>
          <w:tcPr>
            <w:gridSpan w:val="2"/>
            <w:vAlign w:val="center"/>
          </w:tcPr>
          <w:p w:rsidR="00000000" w:rsidDel="00000000" w:rsidP="00000000" w:rsidRDefault="00000000" w:rsidRPr="00000000" w14:paraId="00000078">
            <w:pPr>
              <w:pStyle w:val="Heading3"/>
              <w:rPr/>
            </w:pPr>
            <w:bookmarkStart w:colFirst="0" w:colLast="0" w:name="_heading=h.2xcytpi" w:id="16"/>
            <w:bookmarkEnd w:id="16"/>
            <w:r w:rsidDel="00000000" w:rsidR="00000000" w:rsidRPr="00000000">
              <w:rPr>
                <w:rtl w:val="0"/>
              </w:rPr>
              <w:t xml:space="preserve">RAZONAMIENTO CUANTITATIVO:</w:t>
            </w:r>
          </w:p>
        </w:tc>
        <w:tc>
          <w:tcPr>
            <w:gridSpan w:val="2"/>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Entendiende, comprende y transforma información cuantitativa que se encuentra presentada en distintos formatos como tablas, series, diagramas, gráficos y esquema</w:t>
            </w:r>
          </w:p>
        </w:tc>
        <w:tc>
          <w:tcPr>
            <w:gridSpan w:val="2"/>
            <w:vAlign w:val="center"/>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Recolecta datos estadísticos, los analiza y presenta resultados a través de representaciones estadísticas</w:t>
            </w:r>
          </w:p>
        </w:tc>
      </w:tr>
    </w:tbl>
    <w:p w:rsidR="00000000" w:rsidDel="00000000" w:rsidP="00000000" w:rsidRDefault="00000000" w:rsidRPr="00000000" w14:paraId="0000007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Style w:val="Heading1"/>
        <w:numPr>
          <w:ilvl w:val="0"/>
          <w:numId w:val="2"/>
        </w:numPr>
        <w:ind w:left="360" w:hanging="360"/>
        <w:rPr/>
      </w:pPr>
      <w:bookmarkStart w:colFirst="0" w:colLast="0" w:name="_heading=h.2bn6wsx" w:id="17"/>
      <w:bookmarkEnd w:id="17"/>
      <w:r w:rsidDel="00000000" w:rsidR="00000000" w:rsidRPr="00000000">
        <w:rPr>
          <w:rtl w:val="0"/>
        </w:rPr>
        <w:t xml:space="preserve">ARTICULACIÓN DEL ESPACIO ACADÉMICO CON LA PRÁCTICA PEDAGÓGICA Y LÍNEA DE INVESTIGACIÓN EN EL MARCO INSTITUCIONAL:</w:t>
      </w:r>
    </w:p>
    <w:p w:rsidR="00000000" w:rsidDel="00000000" w:rsidP="00000000" w:rsidRDefault="00000000" w:rsidRPr="00000000" w14:paraId="00000080">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utiliza este espacio académico como herramienta para fortalecer su práctica a través de la creación de material pedagógico, a su vez, este espacio brinda a los estudiantes la formación en el uso de herramientas tecnológicas que contribuyen con el planteamiento de hipótesis que los conlleva a plantear investigaciones sobre la implementación de las herramientas en el desarrollo de las prácticas pedagógicas de los docentes.</w:t>
      </w:r>
    </w:p>
    <w:p w:rsidR="00000000" w:rsidDel="00000000" w:rsidP="00000000" w:rsidRDefault="00000000" w:rsidRPr="00000000" w14:paraId="00000081">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la apropiación de la conceptualización correspondiente a la educación financiera fortalece, en los maestros en formación, habilidades que pueden ser implementadas en la enseñanza de la misma desde los primeros grados escolares.</w:t>
      </w:r>
    </w:p>
    <w:p w:rsidR="00000000" w:rsidDel="00000000" w:rsidP="00000000" w:rsidRDefault="00000000" w:rsidRPr="00000000" w14:paraId="00000082">
      <w:pPr>
        <w:pStyle w:val="Heading1"/>
        <w:numPr>
          <w:ilvl w:val="0"/>
          <w:numId w:val="2"/>
        </w:numPr>
        <w:ind w:left="360" w:hanging="360"/>
        <w:rPr/>
      </w:pPr>
      <w:bookmarkStart w:colFirst="0" w:colLast="0" w:name="_heading=h.qsh70q" w:id="18"/>
      <w:bookmarkEnd w:id="18"/>
      <w:r w:rsidDel="00000000" w:rsidR="00000000" w:rsidRPr="00000000">
        <w:rPr>
          <w:rtl w:val="0"/>
        </w:rPr>
        <w:t xml:space="preserve">METODOLOGÍA:</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76"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que este espacio académico busca fomentar en los maestros en formación la apropiación de conceptos relacionados con la educación financiera y su importancia en la educación básica primaria, además, brinda herramientas tecnológicas que fortalecen la enseñanza de las mismas, el docente encargado de orientar el espacio académico:</w:t>
      </w:r>
    </w:p>
    <w:p w:rsidR="00000000" w:rsidDel="00000000" w:rsidP="00000000" w:rsidRDefault="00000000" w:rsidRPr="00000000" w14:paraId="00000084">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 preguntas orientadoras que lleven a los estudiantes a construir definiciones propias y a reflexionar sobre su aplicabilidad en el contexto cotidiano. </w:t>
      </w:r>
    </w:p>
    <w:p w:rsidR="00000000" w:rsidDel="00000000" w:rsidP="00000000" w:rsidRDefault="00000000" w:rsidRPr="00000000" w14:paraId="00000085">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actividades para desarrollar a través de Classroom y otras aplicaciones como PADLET, EDUCAPLAY, etc. </w:t>
      </w:r>
    </w:p>
    <w:p w:rsidR="00000000" w:rsidDel="00000000" w:rsidP="00000000" w:rsidRDefault="00000000" w:rsidRPr="00000000" w14:paraId="00000086">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 guías y videos conceptuales para que los estudiantes investiguen, practiquen, profundicen y justifiquen sus respuestas ante el resto del grupo.</w:t>
      </w:r>
    </w:p>
    <w:p w:rsidR="00000000" w:rsidDel="00000000" w:rsidP="00000000" w:rsidRDefault="00000000" w:rsidRPr="00000000" w14:paraId="0000008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desarrollan los </w:t>
      </w:r>
      <w:r w:rsidDel="00000000" w:rsidR="00000000" w:rsidRPr="00000000">
        <w:rPr>
          <w:rFonts w:ascii="Times New Roman" w:cs="Times New Roman" w:eastAsia="Times New Roman" w:hAnsi="Times New Roman"/>
          <w:sz w:val="24"/>
          <w:szCs w:val="24"/>
          <w:rtl w:val="0"/>
        </w:rPr>
        <w:t xml:space="preserve">conceptos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actividades </w:t>
      </w:r>
      <w:r w:rsidDel="00000000" w:rsidR="00000000" w:rsidRPr="00000000">
        <w:rPr>
          <w:rFonts w:ascii="Times New Roman" w:cs="Times New Roman" w:eastAsia="Times New Roman" w:hAnsi="Times New Roman"/>
          <w:sz w:val="24"/>
          <w:szCs w:val="24"/>
          <w:rtl w:val="0"/>
        </w:rPr>
        <w:t xml:space="preserve">propuestas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apoyo del docente, utilizando los canales institucionales acondicionados para tal fin</w:t>
      </w:r>
    </w:p>
    <w:p w:rsidR="00000000" w:rsidDel="00000000" w:rsidP="00000000" w:rsidRDefault="00000000" w:rsidRPr="00000000" w14:paraId="00000088">
      <w:pPr>
        <w:pStyle w:val="Title"/>
        <w:ind w:left="0" w:firstLine="0"/>
        <w:rPr/>
      </w:pPr>
      <w:bookmarkStart w:colFirst="0" w:colLast="0" w:name="_heading=h.gl78f662wpq0" w:id="19"/>
      <w:bookmarkEnd w:id="19"/>
      <w:r w:rsidDel="00000000" w:rsidR="00000000" w:rsidRPr="00000000">
        <w:rPr>
          <w:rtl w:val="0"/>
        </w:rPr>
      </w:r>
    </w:p>
    <w:p w:rsidR="00000000" w:rsidDel="00000000" w:rsidP="00000000" w:rsidRDefault="00000000" w:rsidRPr="00000000" w14:paraId="00000089">
      <w:pPr>
        <w:pStyle w:val="Title"/>
        <w:numPr>
          <w:ilvl w:val="0"/>
          <w:numId w:val="2"/>
        </w:numPr>
        <w:rPr>
          <w:u w:val="none"/>
        </w:rPr>
      </w:pPr>
      <w:bookmarkStart w:colFirst="0" w:colLast="0" w:name="_heading=h.gddtsnoguk07" w:id="20"/>
      <w:bookmarkEnd w:id="20"/>
      <w:r w:rsidDel="00000000" w:rsidR="00000000" w:rsidRPr="00000000">
        <w:rPr>
          <w:rtl w:val="0"/>
        </w:rPr>
        <w:t xml:space="preserve">EVALUACIÓN </w:t>
      </w:r>
    </w:p>
    <w:p w:rsidR="00000000" w:rsidDel="00000000" w:rsidP="00000000" w:rsidRDefault="00000000" w:rsidRPr="00000000" w14:paraId="0000008A">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1a1718"/>
          <w:sz w:val="24"/>
          <w:szCs w:val="24"/>
          <w:rtl w:val="0"/>
        </w:rPr>
        <w:t xml:space="preserve">Con el fin de evaluar la apropiación de las estrategias pedagógicas descritas en la metodología y determinar el alcance de las competencias específicas y genéricas correspondientes a este espacio académico, s</w:t>
      </w:r>
      <w:r w:rsidDel="00000000" w:rsidR="00000000" w:rsidRPr="00000000">
        <w:rPr>
          <w:rFonts w:ascii="Times New Roman" w:cs="Times New Roman" w:eastAsia="Times New Roman" w:hAnsi="Times New Roman"/>
          <w:color w:val="231f20"/>
          <w:sz w:val="24"/>
          <w:szCs w:val="24"/>
          <w:rtl w:val="0"/>
        </w:rPr>
        <w:t xml:space="preserve">e valorarán aspectos tales como:</w:t>
      </w:r>
    </w:p>
    <w:p w:rsidR="00000000" w:rsidDel="00000000" w:rsidP="00000000" w:rsidRDefault="00000000" w:rsidRPr="00000000" w14:paraId="0000008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b w:val="0"/>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responsabilidad en la realización de las actividades programadas. </w:t>
      </w:r>
    </w:p>
    <w:p w:rsidR="00000000" w:rsidDel="00000000" w:rsidP="00000000" w:rsidRDefault="00000000" w:rsidRPr="00000000" w14:paraId="0000008C">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b w:val="0"/>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de los documentos creados durante el desarrollo de la clase y extraclase </w:t>
      </w:r>
    </w:p>
    <w:p w:rsidR="00000000" w:rsidDel="00000000" w:rsidP="00000000" w:rsidRDefault="00000000" w:rsidRPr="00000000" w14:paraId="0000008D">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b w:val="0"/>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capacidad de síntesis de los contenidos. </w:t>
      </w:r>
    </w:p>
    <w:p w:rsidR="00000000" w:rsidDel="00000000" w:rsidP="00000000" w:rsidRDefault="00000000" w:rsidRPr="00000000" w14:paraId="0000008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b w:val="0"/>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entrega de las actividades  y el cumplimiento en la entrega de las mismas</w:t>
      </w:r>
    </w:p>
    <w:p w:rsidR="00000000" w:rsidDel="00000000" w:rsidP="00000000" w:rsidRDefault="00000000" w:rsidRPr="00000000" w14:paraId="0000008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b w:val="0"/>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implementación de herramientas virtuales para la creación de actividades de uso en las prácticas pedagógicas.</w:t>
      </w:r>
    </w:p>
    <w:p w:rsidR="00000000" w:rsidDel="00000000" w:rsidP="00000000" w:rsidRDefault="00000000" w:rsidRPr="00000000" w14:paraId="0000009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b w:val="0"/>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Resolución de cuestionarios tipo saber Pro</w:t>
      </w:r>
    </w:p>
    <w:p w:rsidR="00000000" w:rsidDel="00000000" w:rsidP="00000000" w:rsidRDefault="00000000" w:rsidRPr="00000000" w14:paraId="0000009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360"/>
        <w:jc w:val="both"/>
        <w:rPr>
          <w:rFonts w:ascii="Times New Roman" w:cs="Times New Roman" w:eastAsia="Times New Roman" w:hAnsi="Times New Roman"/>
          <w:color w:val="231f20"/>
          <w:sz w:val="24"/>
          <w:szCs w:val="24"/>
          <w:u w:val="none"/>
        </w:rPr>
      </w:pPr>
      <w:r w:rsidDel="00000000" w:rsidR="00000000" w:rsidRPr="00000000">
        <w:rPr>
          <w:rFonts w:ascii="Times New Roman" w:cs="Times New Roman" w:eastAsia="Times New Roman" w:hAnsi="Times New Roman"/>
          <w:color w:val="231f20"/>
          <w:sz w:val="24"/>
          <w:szCs w:val="24"/>
          <w:rtl w:val="0"/>
        </w:rPr>
        <w:t xml:space="preserve">La calidad Exposiciones desarrolladas</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0" w:lineRule="auto"/>
        <w:ind w:left="360" w:firstLine="0"/>
        <w:jc w:val="both"/>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Instrumentos de evaluación: </w:t>
      </w:r>
      <w:r w:rsidDel="00000000" w:rsidR="00000000" w:rsidRPr="00000000">
        <w:rPr>
          <w:rFonts w:ascii="Times New Roman" w:cs="Times New Roman" w:eastAsia="Times New Roman" w:hAnsi="Times New Roman"/>
          <w:color w:val="231f20"/>
          <w:sz w:val="24"/>
          <w:szCs w:val="24"/>
          <w:rtl w:val="0"/>
        </w:rPr>
        <w:t xml:space="preserve">para la valoración de las actividades de evaluación se tendrá en cuenta:</w:t>
      </w:r>
    </w:p>
    <w:p w:rsidR="00000000" w:rsidDel="00000000" w:rsidP="00000000" w:rsidRDefault="00000000" w:rsidRPr="00000000" w14:paraId="0000009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Rubricas de evaluación </w:t>
      </w:r>
    </w:p>
    <w:p w:rsidR="00000000" w:rsidDel="00000000" w:rsidP="00000000" w:rsidRDefault="00000000" w:rsidRPr="00000000" w14:paraId="0000009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Listas de chequeo </w:t>
      </w:r>
    </w:p>
    <w:p w:rsidR="00000000" w:rsidDel="00000000" w:rsidP="00000000" w:rsidRDefault="00000000" w:rsidRPr="00000000" w14:paraId="0000009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Pruebas orales</w:t>
      </w:r>
    </w:p>
    <w:p w:rsidR="00000000" w:rsidDel="00000000" w:rsidP="00000000" w:rsidRDefault="00000000" w:rsidRPr="00000000" w14:paraId="00000097">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360" w:lineRule="auto"/>
        <w:ind w:left="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Pruebas escritas con preguntas abiertas, cerradas y de análisis, usando herramientas tecnológicas </w:t>
      </w:r>
      <w:r w:rsidDel="00000000" w:rsidR="00000000" w:rsidRPr="00000000">
        <w:rPr>
          <w:rtl w:val="0"/>
        </w:rPr>
      </w:r>
    </w:p>
    <w:p w:rsidR="00000000" w:rsidDel="00000000" w:rsidP="00000000" w:rsidRDefault="00000000" w:rsidRPr="00000000" w14:paraId="00000098">
      <w:pPr>
        <w:pStyle w:val="Heading1"/>
        <w:numPr>
          <w:ilvl w:val="0"/>
          <w:numId w:val="2"/>
        </w:numPr>
        <w:ind w:left="360" w:hanging="360"/>
        <w:rPr/>
      </w:pPr>
      <w:bookmarkStart w:colFirst="0" w:colLast="0" w:name="_heading=h.3as4poj" w:id="21"/>
      <w:bookmarkEnd w:id="21"/>
      <w:r w:rsidDel="00000000" w:rsidR="00000000" w:rsidRPr="00000000">
        <w:rPr>
          <w:rtl w:val="0"/>
        </w:rPr>
        <w:t xml:space="preserve">BIBLIOGRAFÍA Y WEBGRAFÍA</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Educación Nacional. (2014) Mi plan, mi vida, mi futuro. Orientaciones Pedagógicas para la Educación Económica y Financiera </w:t>
      </w:r>
    </w:p>
    <w:p w:rsidR="00000000" w:rsidDel="00000000" w:rsidP="00000000" w:rsidRDefault="00000000" w:rsidRPr="00000000" w14:paraId="0000009A">
      <w:pPr>
        <w:rPr>
          <w:rFonts w:ascii="Times New Roman" w:cs="Times New Roman" w:eastAsia="Times New Roman" w:hAnsi="Times New Roman"/>
          <w:sz w:val="24"/>
          <w:szCs w:val="24"/>
        </w:rPr>
      </w:pPr>
      <w:bookmarkStart w:colFirst="0" w:colLast="0" w:name="_heading=h.1pxezwc" w:id="22"/>
      <w:bookmarkEnd w:id="22"/>
      <w:r w:rsidDel="00000000" w:rsidR="00000000" w:rsidRPr="00000000">
        <w:rPr>
          <w:rFonts w:ascii="Times New Roman" w:cs="Times New Roman" w:eastAsia="Times New Roman" w:hAnsi="Times New Roman"/>
          <w:sz w:val="24"/>
          <w:szCs w:val="24"/>
          <w:rtl w:val="0"/>
        </w:rPr>
        <w:t xml:space="preserve">Domínguez, José (2013). Educación financiera en la escuela: las competencias según el PISA</w:t>
      </w:r>
    </w:p>
    <w:sectPr>
      <w:headerReference r:id="rId7" w:type="default"/>
      <w:footerReference r:id="rId8" w:type="default"/>
      <w:pgSz w:h="15840" w:w="12240" w:orient="portrait"/>
      <w:pgMar w:bottom="720" w:top="720" w:left="720" w:right="72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tabs>
        <w:tab w:val="center" w:pos="4419"/>
        <w:tab w:val="right" w:pos="8838"/>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tabs>
        <w:tab w:val="center" w:pos="4419"/>
        <w:tab w:val="right" w:pos="8838"/>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-33017</wp:posOffset>
                </wp:positionV>
                <wp:extent cx="470535" cy="570865"/>
                <wp:effectExtent b="0" l="0" r="0" t="0"/>
                <wp:wrapNone/>
                <wp:docPr descr="ESCUDO_ESCUELA_NORMAL_SUPERIOR_2010_A_COLOR" id="31"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-84452</wp:posOffset>
                </wp:positionV>
                <wp:extent cx="842645" cy="463550"/>
                <wp:effectExtent b="0" l="0" r="0" t="0"/>
                <wp:wrapSquare wrapText="bothSides" distB="0" distT="0" distL="114300" distR="114300"/>
                <wp:docPr id="3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D">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E">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1">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2">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A7">
    <w:pPr>
      <w:tabs>
        <w:tab w:val="center" w:pos="4419"/>
        <w:tab w:val="right" w:pos="8838"/>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pPr>
    <w:rPr>
      <w:color w:val="000000"/>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ind w:left="0" w:firstLine="0"/>
      <w:outlineLvl w:val="1"/>
    </w:pPr>
  </w:style>
  <w:style w:type="paragraph" w:styleId="Ttulo3">
    <w:name w:val="heading 3"/>
    <w:basedOn w:val="Ttulo2"/>
    <w:next w:val="Normal"/>
    <w:link w:val="Ttulo3Car"/>
    <w:uiPriority w:val="9"/>
    <w:unhideWhenUsed w:val="1"/>
    <w:qFormat w:val="1"/>
    <w:rsid w:val="00687D2E"/>
    <w:pPr>
      <w:outlineLvl w:val="2"/>
    </w:p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891F4F"/>
    <w:pPr>
      <w:spacing w:after="0" w:line="360" w:lineRule="auto"/>
      <w:ind w:left="360" w:hanging="360"/>
      <w:contextualSpacing w:val="1"/>
      <w:jc w:val="both"/>
    </w:pPr>
    <w:rPr>
      <w:rFonts w:ascii="Times New Roman" w:cs="Times New Roman" w:eastAsia="Arial" w:hAnsi="Times New Roman"/>
      <w:b w:val="1"/>
      <w:sz w:val="24"/>
      <w:szCs w:val="24"/>
    </w:rPr>
  </w:style>
  <w:style w:type="paragraph" w:styleId="Sinespaciado">
    <w:name w:val="No Spacing"/>
    <w:uiPriority w:val="1"/>
    <w:qFormat w:val="1"/>
    <w:rsid w:val="00891F4F"/>
    <w:pPr>
      <w:spacing w:after="0" w:line="240" w:lineRule="auto"/>
    </w:pPr>
    <w:rPr>
      <w:rFonts w:cs="Times New Roman"/>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pBdr>
        <w:top w:color="auto" w:space="0" w:sz="0" w:val="none"/>
        <w:left w:color="auto" w:space="0" w:sz="0" w:val="none"/>
        <w:bottom w:color="auto" w:space="0" w:sz="0" w:val="none"/>
        <w:right w:color="auto" w:space="0" w:sz="0" w:val="none"/>
        <w:between w:color="auto" w:space="0" w:sz="0" w:val="none"/>
      </w:pBdr>
      <w:spacing w:before="240" w:line="259" w:lineRule="auto"/>
      <w:ind w:left="0" w:firstLine="0"/>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15.0" w:type="dxa"/>
        <w:right w:w="115.0" w:type="dxa"/>
      </w:tblCellMar>
    </w:tblPr>
  </w:style>
  <w:style w:type="paragraph" w:styleId="Default" w:customStyle="1">
    <w:name w:val="Default"/>
    <w:rsid w:val="00F0505B"/>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semiHidden w:val="1"/>
    <w:unhideWhenUsed w:val="1"/>
    <w:rsid w:val="008966B0"/>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J6huPzr7ulqvLD+OdGQMDbwihQ==">AMUW2mVVgE/lksY+4X+68IZKxS9nNvWQfOwkIgUs+cJ8Tbt/2T3LCqqVawAP3u6LViLduHj+ZH6ldqxP9xmzPs/r2/aFINd0cSA5edQ6j4cmHLTCo+B1nrIBY/T9UeuUsxGM2z5vAi/cy9IkBq1g8of4teDiZy2TfUKxmmnf9Ks2CD9YSfEx6SFhw3Gvk/FNHA3+/IyPreSmze7NVcR8pZHaa/mLlckEb30bU60m0JCGSbaoekVpbCCkrRp3K14KlIV7d4lY3exH6VEYab+FmrQNE8OjnkBgFv/+1gLftMKjPOtmjTslJgqlBkY6OQN2BW4awL70hF993Zf9ZJdysy9r81tC+K3+44iYh1NVM2yy/55OwpF53tdNetezIZ1tfTEFuHAOjs7nWbxDpV8ZMFWZroqBJGrumVj0yUbgP+1toMEdWo6qha4Hr3HaXMRu6pPOh+7P5bNMoUpURg1vql4p3TopAY9D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2021-01-13T18:26:00Z</dcterms:created>
  <dc:creator>gaalvarezg@hotmail.com</dc:creator>
</cp:coreProperties>
</file>